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3FE" w14:textId="074E071E" w:rsidR="00AA668D" w:rsidRPr="00AA668D" w:rsidRDefault="00AA668D" w:rsidP="00AA668D">
      <w:pPr>
        <w:ind w:right="66"/>
        <w:jc w:val="both"/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</w:pPr>
      <w:r w:rsidRPr="00AA668D"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  <w:t xml:space="preserve">  </w:t>
      </w:r>
      <w:r w:rsidRPr="00AA668D"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  <w:t>Meede</w:t>
      </w:r>
      <w:r w:rsidRPr="00AA668D">
        <w:rPr>
          <w:rFonts w:ascii="Cambria Math" w:eastAsia="Arial" w:hAnsi="Cambria Math" w:cs="Arial"/>
          <w:b/>
          <w:sz w:val="22"/>
          <w:szCs w:val="22"/>
          <w:lang w:val="et-EE"/>
        </w:rPr>
        <w:t xml:space="preserve"> </w:t>
      </w:r>
      <w:r w:rsidRPr="00AA668D"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  <w:t>5</w:t>
      </w:r>
      <w:r w:rsidRPr="00AA668D">
        <w:rPr>
          <w:rFonts w:ascii="Cambria Math" w:eastAsia="Arial" w:hAnsi="Cambria Math" w:cs="Arial"/>
          <w:b/>
          <w:sz w:val="22"/>
          <w:szCs w:val="22"/>
          <w:lang w:val="et-EE"/>
        </w:rPr>
        <w:t xml:space="preserve"> </w:t>
      </w:r>
      <w:r w:rsidRPr="00AA668D"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  <w:t>–</w:t>
      </w:r>
      <w:r w:rsidRPr="00AA668D">
        <w:rPr>
          <w:rFonts w:ascii="Cambria Math" w:eastAsia="Arial" w:hAnsi="Cambria Math" w:cs="Arial"/>
          <w:b/>
          <w:sz w:val="22"/>
          <w:szCs w:val="22"/>
          <w:lang w:val="et-EE"/>
        </w:rPr>
        <w:t xml:space="preserve"> </w:t>
      </w:r>
      <w:r w:rsidRPr="00AA668D"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  <w:t>COVID-19 olukorra leevendamiseks suunatud meede.</w:t>
      </w:r>
    </w:p>
    <w:p w14:paraId="37D7287E" w14:textId="77777777" w:rsidR="00AA668D" w:rsidRPr="00AA668D" w:rsidRDefault="00AA668D" w:rsidP="00AA668D">
      <w:pPr>
        <w:ind w:left="100" w:right="66"/>
        <w:jc w:val="both"/>
        <w:rPr>
          <w:rFonts w:ascii="Cambria Math" w:eastAsia="Arial" w:hAnsi="Cambria Math" w:cs="Arial"/>
          <w:b/>
          <w:w w:val="99"/>
          <w:sz w:val="22"/>
          <w:szCs w:val="22"/>
          <w:lang w:val="et-EE"/>
        </w:rPr>
      </w:pPr>
    </w:p>
    <w:p w14:paraId="54392EDB" w14:textId="77777777" w:rsidR="00AA668D" w:rsidRPr="00AA668D" w:rsidRDefault="00AA668D" w:rsidP="00AA668D">
      <w:pPr>
        <w:ind w:left="100" w:right="63"/>
        <w:jc w:val="both"/>
        <w:rPr>
          <w:rFonts w:ascii="Cambria Math" w:eastAsia="Arial" w:hAnsi="Cambria Math" w:cs="Arial"/>
          <w:sz w:val="22"/>
          <w:szCs w:val="22"/>
          <w:lang w:val="et-EE"/>
        </w:rPr>
      </w:pPr>
      <w:r w:rsidRPr="00AA668D">
        <w:rPr>
          <w:rFonts w:ascii="Cambria Math" w:eastAsia="Arial" w:hAnsi="Cambria Math" w:cs="Arial"/>
          <w:b/>
          <w:sz w:val="22"/>
          <w:szCs w:val="22"/>
          <w:lang w:val="et-EE"/>
        </w:rPr>
        <w:t>Meetme  rakendamise  eesmärgiks  on  tegevusgrupi piirkonnas ettevõtjate ja ettevõtlusega tegelevate vabaühenduste toetamine seoses COVID-19 haigust põhjustava koroonaviiruse levikust tulenevate piirangutega.</w:t>
      </w:r>
    </w:p>
    <w:p w14:paraId="30C77388" w14:textId="77777777" w:rsidR="00AA668D" w:rsidRPr="00AA668D" w:rsidRDefault="00AA668D" w:rsidP="00AA668D">
      <w:pPr>
        <w:spacing w:before="15" w:line="240" w:lineRule="exact"/>
        <w:rPr>
          <w:rFonts w:ascii="Cambria Math" w:hAnsi="Cambria Math" w:cs="Arial"/>
          <w:sz w:val="22"/>
          <w:szCs w:val="22"/>
          <w:lang w:val="et-EE"/>
        </w:rPr>
      </w:pPr>
    </w:p>
    <w:tbl>
      <w:tblPr>
        <w:tblStyle w:val="Kontuurtabel1"/>
        <w:tblW w:w="9291" w:type="dxa"/>
        <w:tblInd w:w="0" w:type="dxa"/>
        <w:tblLook w:val="04A0" w:firstRow="1" w:lastRow="0" w:firstColumn="1" w:lastColumn="0" w:noHBand="0" w:noVBand="1"/>
      </w:tblPr>
      <w:tblGrid>
        <w:gridCol w:w="2732"/>
        <w:gridCol w:w="6559"/>
      </w:tblGrid>
      <w:tr w:rsidR="00AA668D" w:rsidRPr="00DF4127" w14:paraId="3B5FA3BD" w14:textId="77777777" w:rsidTr="00AA668D">
        <w:trPr>
          <w:trHeight w:val="38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6EA7F86D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Meede 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3CF26D80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COVID-19 olukorra leevendamiseks suunatud meede</w:t>
            </w:r>
          </w:p>
        </w:tc>
      </w:tr>
      <w:tr w:rsidR="00AA668D" w:rsidRPr="00DF4127" w14:paraId="2D5660CA" w14:textId="77777777" w:rsidTr="00AA668D">
        <w:trPr>
          <w:trHeight w:val="7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F195423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Toetatavad valdkonnad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B1AE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Mikroettevõtete ja ettevõtlusega tegelevate vabaühenduste konkurentsivõime taastamine </w:t>
            </w:r>
          </w:p>
        </w:tc>
      </w:tr>
      <w:tr w:rsidR="00AA668D" w:rsidRPr="00DF4127" w14:paraId="4CAD6814" w14:textId="77777777" w:rsidTr="00AA668D">
        <w:trPr>
          <w:trHeight w:val="202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5CBF388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5C4A938D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340B7EAF" w14:textId="77777777" w:rsidR="00AA668D" w:rsidRPr="00DF4127" w:rsidRDefault="00AA668D">
            <w:pPr>
              <w:ind w:left="321" w:right="34"/>
              <w:rPr>
                <w:rFonts w:ascii="Cambria Math" w:eastAsia="Arial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>Abikõlbulikud tegevused vastavalt Euroopa Parlamendi ja Nõukogu määruse nr</w:t>
            </w:r>
          </w:p>
          <w:p w14:paraId="3807E015" w14:textId="77777777" w:rsidR="00AA668D" w:rsidRPr="00DF4127" w:rsidRDefault="00AA668D">
            <w:pPr>
              <w:spacing w:line="240" w:lineRule="exact"/>
              <w:ind w:left="321"/>
              <w:rPr>
                <w:rFonts w:ascii="Cambria Math" w:eastAsia="Arial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>1305/2013 artiklitele nr</w:t>
            </w:r>
          </w:p>
          <w:p w14:paraId="212C5DAC" w14:textId="77777777" w:rsidR="00AA668D" w:rsidRPr="00DF4127" w:rsidRDefault="00AA668D">
            <w:pPr>
              <w:spacing w:before="1"/>
              <w:ind w:left="321"/>
              <w:rPr>
                <w:rFonts w:ascii="Cambria Math" w:eastAsia="Arial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>14, 17, 19, 20 ja 35</w:t>
            </w:r>
          </w:p>
          <w:p w14:paraId="3E12535F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CB7" w14:textId="77777777" w:rsidR="00AA668D" w:rsidRPr="00DF4127" w:rsidRDefault="00AA668D">
            <w:pPr>
              <w:spacing w:line="240" w:lineRule="exact"/>
              <w:ind w:left="720"/>
              <w:contextualSpacing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27615414" w14:textId="77777777" w:rsidR="00AA668D" w:rsidRPr="00DF4127" w:rsidRDefault="00AA668D">
            <w:pPr>
              <w:spacing w:line="240" w:lineRule="exact"/>
              <w:ind w:left="720"/>
              <w:contextualSpacing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5BE356CF" w14:textId="77777777" w:rsidR="00AA668D" w:rsidRPr="00DF4127" w:rsidRDefault="00AA668D">
            <w:pPr>
              <w:numPr>
                <w:ilvl w:val="0"/>
                <w:numId w:val="1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Toodete ja teenuste arendamiseks investeeringud ehitistesse, rajatistesse, taristusse, sisustusse ja seadmetesse. (ehitus, renoveerimine, seadmete, masinate, inventari ost. )</w:t>
            </w:r>
          </w:p>
          <w:p w14:paraId="3B863158" w14:textId="77777777" w:rsidR="00AA668D" w:rsidRPr="00DF4127" w:rsidRDefault="00AA668D">
            <w:pPr>
              <w:spacing w:line="240" w:lineRule="exact"/>
              <w:ind w:left="720"/>
              <w:contextualSpacing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261FD742" w14:textId="77777777" w:rsidR="00AA668D" w:rsidRPr="00DF4127" w:rsidRDefault="00AA668D">
            <w:pPr>
              <w:numPr>
                <w:ilvl w:val="0"/>
                <w:numId w:val="1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Tööalased koolitustegevused ja õppereisid, mis</w:t>
            </w:r>
          </w:p>
          <w:p w14:paraId="2E91D419" w14:textId="77777777" w:rsidR="00AA668D" w:rsidRPr="00DF4127" w:rsidRDefault="00AA668D">
            <w:pPr>
              <w:spacing w:line="240" w:lineRule="exact"/>
              <w:ind w:left="720"/>
              <w:contextualSpacing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arendavad ettevõtlikkust, teenuseid ja tooteid teadmusiirde projektina.</w:t>
            </w:r>
          </w:p>
          <w:p w14:paraId="2B8283BF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490506DC" w14:textId="77777777" w:rsidR="00AA668D" w:rsidRPr="00DF4127" w:rsidRDefault="00AA668D">
            <w:pPr>
              <w:numPr>
                <w:ilvl w:val="0"/>
                <w:numId w:val="1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Investeeringud </w:t>
            </w:r>
            <w:r w:rsidRPr="00DF4127">
              <w:rPr>
                <w:rFonts w:ascii="Cambria Math" w:hAnsi="Cambria Math" w:cs="Arial"/>
                <w:color w:val="222222"/>
                <w:sz w:val="22"/>
                <w:szCs w:val="22"/>
                <w:shd w:val="clear" w:color="auto" w:fill="FFFFFF"/>
                <w:lang w:val="et-EE"/>
              </w:rPr>
              <w:t>immateriaalsesse põhivarasse nt  tarkvaralahenduste ja programmide ostmine, veebilehe loomine või arendamine</w:t>
            </w:r>
          </w:p>
          <w:p w14:paraId="60E502E8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</w:tc>
      </w:tr>
      <w:tr w:rsidR="00AA668D" w:rsidRPr="00DF4127" w14:paraId="7A23C23A" w14:textId="77777777" w:rsidTr="00AA668D">
        <w:trPr>
          <w:trHeight w:val="223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37EB363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Mitteabikõlbulikud</w:t>
            </w:r>
          </w:p>
          <w:p w14:paraId="1EB4BAED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tegevused</w:t>
            </w:r>
          </w:p>
          <w:p w14:paraId="1673E766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A99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Investeeringut ette valmistavad tegevused, kui need viiakse ellu eraldiseisva projektina</w:t>
            </w:r>
          </w:p>
          <w:p w14:paraId="27B4F8C7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Kinnistu ost</w:t>
            </w:r>
          </w:p>
          <w:p w14:paraId="64B8B43F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Projektijuhtimine</w:t>
            </w:r>
          </w:p>
          <w:p w14:paraId="1CE7B971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Investeeringuga otseselt mitte seotud koolitused jms</w:t>
            </w:r>
          </w:p>
          <w:p w14:paraId="00C1F4C1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Vabatahtlik töö arvestamine</w:t>
            </w:r>
          </w:p>
          <w:p w14:paraId="2BD73547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Kõik meetme määruse poolt välistatud mitteabikõlblikud tegevused</w:t>
            </w:r>
          </w:p>
        </w:tc>
      </w:tr>
      <w:tr w:rsidR="00AA668D" w:rsidRPr="00DF4127" w14:paraId="32D23FBC" w14:textId="77777777" w:rsidTr="00AA668D">
        <w:trPr>
          <w:trHeight w:val="11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8DF23D1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Toetuse saajad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EB02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Ettevõtted sh </w:t>
            </w:r>
            <w:proofErr w:type="spellStart"/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FIEd</w:t>
            </w:r>
            <w:proofErr w:type="spellEnd"/>
          </w:p>
          <w:p w14:paraId="1ADD7CA7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 xml:space="preserve">Kolmanda sektori organisatsioonid (MTÜd ja </w:t>
            </w:r>
            <w:proofErr w:type="spellStart"/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>SAd</w:t>
            </w:r>
            <w:proofErr w:type="spellEnd"/>
            <w:r w:rsidRPr="00DF4127">
              <w:rPr>
                <w:rFonts w:ascii="Cambria Math" w:eastAsia="Arial" w:hAnsi="Cambria Math" w:cs="Arial"/>
                <w:sz w:val="22"/>
                <w:szCs w:val="22"/>
                <w:lang w:val="et-EE"/>
              </w:rPr>
              <w:t>)</w:t>
            </w:r>
          </w:p>
          <w:p w14:paraId="3E03CCBD" w14:textId="77777777" w:rsidR="00AA668D" w:rsidRPr="00DF4127" w:rsidRDefault="00AA668D">
            <w:pPr>
              <w:numPr>
                <w:ilvl w:val="0"/>
                <w:numId w:val="2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Koolituse või muu teadmussiirde ja teavituse osutaja, kellel on asjakohane suutlikkus personali kvalifikatsiooni ja korrapärase koolitustegevusenäol. Toetuse saaja ei või olla teenuse pakkuja.</w:t>
            </w:r>
          </w:p>
        </w:tc>
      </w:tr>
      <w:tr w:rsidR="00AA668D" w:rsidRPr="00DF4127" w14:paraId="67484AAD" w14:textId="77777777" w:rsidTr="00AA668D">
        <w:trPr>
          <w:trHeight w:val="7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6E3D74E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Nõuded toetuse saajale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42B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Taotleja poolt läbiviidavad projektitegevused on suunatud NVK tegevuspiirkonnale.</w:t>
            </w:r>
          </w:p>
          <w:p w14:paraId="5C8BFE60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Taotleja peab taotluse lisana esitama finantsprognoosi</w:t>
            </w:r>
          </w:p>
          <w:p w14:paraId="01AA9108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078A7F74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</w:tc>
      </w:tr>
      <w:tr w:rsidR="00AA668D" w:rsidRPr="00DF4127" w14:paraId="6BFD1621" w14:textId="77777777" w:rsidTr="00AA668D">
        <w:trPr>
          <w:trHeight w:val="11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B65AEE5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Minimaalne ja maksimaalne toetussumma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72DC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Minimaalne toetussumma  2000</w:t>
            </w:r>
          </w:p>
          <w:p w14:paraId="248A62CD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Maksimaalne toetussumma 8000</w:t>
            </w:r>
          </w:p>
        </w:tc>
      </w:tr>
      <w:tr w:rsidR="00AA668D" w:rsidRPr="00DF4127" w14:paraId="0B6D7A93" w14:textId="77777777" w:rsidTr="00AA668D">
        <w:trPr>
          <w:trHeight w:val="7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746F103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Toetuse %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834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32769CE3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60%</w:t>
            </w:r>
          </w:p>
        </w:tc>
      </w:tr>
      <w:tr w:rsidR="00AA668D" w:rsidRPr="00DF4127" w14:paraId="51ECBD08" w14:textId="77777777" w:rsidTr="00AA668D">
        <w:trPr>
          <w:trHeight w:val="7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203FF2C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Indikaatorid ja sihttasemed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D13" w14:textId="77777777" w:rsidR="00AA668D" w:rsidRPr="00DF4127" w:rsidRDefault="00AA668D">
            <w:pPr>
              <w:numPr>
                <w:ilvl w:val="0"/>
                <w:numId w:val="3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Toetatud projektide arv</w:t>
            </w:r>
          </w:p>
          <w:p w14:paraId="150E148C" w14:textId="77777777" w:rsidR="00AA668D" w:rsidRPr="00DF4127" w:rsidRDefault="00AA668D">
            <w:pPr>
              <w:numPr>
                <w:ilvl w:val="0"/>
                <w:numId w:val="3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Projektiga loodud või säilitatud alaliste töökohtade arv</w:t>
            </w:r>
          </w:p>
          <w:p w14:paraId="583705F7" w14:textId="77777777" w:rsidR="00AA668D" w:rsidRPr="00DF4127" w:rsidRDefault="00AA668D">
            <w:pPr>
              <w:spacing w:line="240" w:lineRule="exact"/>
              <w:ind w:left="720"/>
              <w:contextualSpacing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</w:tc>
      </w:tr>
      <w:tr w:rsidR="00AA668D" w:rsidRPr="00DF4127" w14:paraId="6F7A1DCA" w14:textId="77777777" w:rsidTr="00AA668D">
        <w:trPr>
          <w:trHeight w:val="7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9DAF836" w14:textId="77777777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lastRenderedPageBreak/>
              <w:t>Projektitaotluse</w:t>
            </w:r>
          </w:p>
          <w:p w14:paraId="45298D6C" w14:textId="6052E7D3" w:rsidR="00AA668D" w:rsidRPr="00DF4127" w:rsidRDefault="00AA668D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hindamiskriteeriumid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260" w14:textId="77777777" w:rsidR="00AA668D" w:rsidRPr="00AA668D" w:rsidRDefault="00AA668D" w:rsidP="00AA668D">
            <w:pPr>
              <w:spacing w:line="240" w:lineRule="exact"/>
              <w:ind w:left="720"/>
              <w:rPr>
                <w:rFonts w:ascii="Cambria Math" w:hAnsi="Cambria Math" w:cs="Arial"/>
                <w:b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b/>
                <w:sz w:val="22"/>
                <w:szCs w:val="22"/>
                <w:lang w:val="et-EE"/>
              </w:rPr>
              <w:t>Taotluste hindamise aluseks on kriteeriumid, mis jagunevad kaheks plokiks:</w:t>
            </w:r>
          </w:p>
          <w:p w14:paraId="32ECF7B2" w14:textId="77777777" w:rsidR="00AA668D" w:rsidRPr="00AA668D" w:rsidRDefault="00AA668D" w:rsidP="00AA668D">
            <w:pPr>
              <w:numPr>
                <w:ilvl w:val="0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Projekti </w:t>
            </w:r>
            <w:r w:rsidRPr="00AA668D">
              <w:rPr>
                <w:rFonts w:ascii="Cambria Math" w:hAnsi="Cambria Math" w:cs="Arial"/>
                <w:b/>
                <w:sz w:val="22"/>
                <w:szCs w:val="22"/>
                <w:lang w:val="et-EE"/>
              </w:rPr>
              <w:t>mõjuga</w:t>
            </w: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seotud kriteeriumid (osakaal 75% mõlemast plokist):</w:t>
            </w:r>
          </w:p>
          <w:p w14:paraId="47E731B1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põhjendatus ja seos Nelja Valla Kogu strateegiaga (20%);</w:t>
            </w:r>
          </w:p>
          <w:p w14:paraId="0B6A3ED4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seos kohaliku omavalitsuse, kandi või küla arengukavaga (10%);</w:t>
            </w:r>
          </w:p>
          <w:p w14:paraId="05F8F13C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panus meetme indikaatorite sihttasemete täitmisesse (10%);</w:t>
            </w:r>
          </w:p>
          <w:p w14:paraId="3A4B3056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jätkusuutlikkus (15%);</w:t>
            </w:r>
          </w:p>
          <w:p w14:paraId="718A2D27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Koostöö (10%);</w:t>
            </w:r>
          </w:p>
          <w:p w14:paraId="5CF3302C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Uuenduslikkus (10%).</w:t>
            </w:r>
          </w:p>
          <w:p w14:paraId="788BDD53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28B6B516" w14:textId="77777777" w:rsidR="00AA668D" w:rsidRPr="00AA668D" w:rsidRDefault="00AA668D" w:rsidP="00AA668D">
            <w:pPr>
              <w:numPr>
                <w:ilvl w:val="0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Projekti </w:t>
            </w:r>
            <w:r w:rsidRPr="00AA668D">
              <w:rPr>
                <w:rFonts w:ascii="Cambria Math" w:hAnsi="Cambria Math" w:cs="Arial"/>
                <w:b/>
                <w:sz w:val="22"/>
                <w:szCs w:val="22"/>
                <w:lang w:val="et-EE"/>
              </w:rPr>
              <w:t>kvaliteediga</w:t>
            </w: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seotud kriteeriumid (osakaal 25% mõlemast plokist):</w:t>
            </w:r>
          </w:p>
          <w:p w14:paraId="044DD141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üldine kvaliteet (10%);</w:t>
            </w:r>
          </w:p>
          <w:p w14:paraId="3861704C" w14:textId="6005792D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Projekti kulude põhjendatus</w:t>
            </w: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</w:t>
            </w: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(10%);</w:t>
            </w:r>
          </w:p>
          <w:p w14:paraId="0D1DEA9B" w14:textId="77777777" w:rsidR="00AA668D" w:rsidRPr="00AA668D" w:rsidRDefault="00AA668D" w:rsidP="00AA668D">
            <w:pPr>
              <w:numPr>
                <w:ilvl w:val="1"/>
                <w:numId w:val="4"/>
              </w:numPr>
              <w:spacing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AA668D">
              <w:rPr>
                <w:rFonts w:ascii="Cambria Math" w:hAnsi="Cambria Math" w:cs="Arial"/>
                <w:sz w:val="22"/>
                <w:szCs w:val="22"/>
                <w:lang w:val="et-EE"/>
              </w:rPr>
              <w:t>Taotleja taust, sh varasem kogemus ja olemasolevad kompetentsid, võimekus projekti ellu viimiseks (5%).</w:t>
            </w:r>
          </w:p>
          <w:p w14:paraId="4FBDEB5D" w14:textId="77777777" w:rsidR="00AA668D" w:rsidRPr="00AA668D" w:rsidRDefault="00AA668D" w:rsidP="00AA668D">
            <w:pPr>
              <w:spacing w:line="240" w:lineRule="exact"/>
              <w:ind w:left="720"/>
              <w:rPr>
                <w:rFonts w:ascii="Cambria Math" w:hAnsi="Cambria Math" w:cs="Arial"/>
                <w:sz w:val="22"/>
                <w:szCs w:val="22"/>
                <w:lang w:val="et-EE"/>
              </w:rPr>
            </w:pPr>
          </w:p>
          <w:p w14:paraId="66233376" w14:textId="0FAF28CF" w:rsidR="00AA668D" w:rsidRPr="00DF4127" w:rsidRDefault="00AA668D" w:rsidP="00AA668D">
            <w:pPr>
              <w:spacing w:line="240" w:lineRule="exact"/>
              <w:ind w:left="720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Taotlusi hinnatakse 4-palli süsteemis, kus 4 tähistab väga head, 3 rahuldavat, 2 kesist ja 1 puudulikku. Hindamiskriteeriume on täpsemalt kirjeldatud MTÜ Nelja Valla Kogu strateegias 2015-202</w:t>
            </w: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3</w:t>
            </w: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tabel nr 7 ja dokumendis „MTÜ Nelja Valla Kogu Le</w:t>
            </w:r>
            <w:r w:rsidR="00DF4127">
              <w:rPr>
                <w:rFonts w:ascii="Cambria Math" w:hAnsi="Cambria Math" w:cs="Arial"/>
                <w:sz w:val="22"/>
                <w:szCs w:val="22"/>
                <w:lang w:val="et-EE"/>
              </w:rPr>
              <w:t>ader</w:t>
            </w: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 xml:space="preserve"> Meetme raames antava projektitaotluste menetlemise ja hindamise kord“.</w:t>
            </w:r>
          </w:p>
        </w:tc>
      </w:tr>
      <w:tr w:rsidR="00DF4127" w:rsidRPr="00DF4127" w14:paraId="6FBFAE9F" w14:textId="77777777" w:rsidTr="00AA668D">
        <w:trPr>
          <w:trHeight w:val="7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4EAC531" w14:textId="5567545F" w:rsidR="00DF4127" w:rsidRPr="00DF4127" w:rsidRDefault="00DF4127">
            <w:pPr>
              <w:spacing w:before="11" w:line="240" w:lineRule="exact"/>
              <w:rPr>
                <w:rFonts w:ascii="Cambria Math" w:hAnsi="Cambria Math" w:cs="Arial"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sz w:val="22"/>
                <w:szCs w:val="22"/>
                <w:lang w:val="et-EE"/>
              </w:rPr>
              <w:t>Esitatavad dokumendid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505" w14:textId="77777777" w:rsidR="00DF4127" w:rsidRPr="00DF4127" w:rsidRDefault="00DF4127" w:rsidP="00DF4127">
            <w:pPr>
              <w:spacing w:line="240" w:lineRule="exact"/>
              <w:ind w:left="720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Esitatavad dokumendid</w:t>
            </w:r>
          </w:p>
          <w:p w14:paraId="2BB5B8AD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Projekt</w:t>
            </w:r>
          </w:p>
          <w:p w14:paraId="757A7FBD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Projektijuhi CV (vabas vormis)</w:t>
            </w:r>
          </w:p>
          <w:p w14:paraId="77836D05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Investeeringuobjekti puhul nõutavad dokumendid (ehitusloa koopia, KOV kirjaliku nõusoleku koopia, maa kasutusõigust tõendav dokument, ehitusalased joonised jne vastavalt Maaeluministeeriumi määrusele 23.10.2015 nr 11 (Kohaliku tegevusgrupi toetus ja LEADER-projektitoetus) § 37 lg 4</w:t>
            </w:r>
          </w:p>
          <w:p w14:paraId="07FA404C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Ehitise puhul  (kui hoone ehitustegevuseks on vajalik ehitusteatis või ehitusluba) peab esitama kavandatava ehitise maksumuse eelarve,  mis on       Microsoft Exceli tarkvaraga töödeldavas vormingus. (PRIA vormil)</w:t>
            </w:r>
          </w:p>
          <w:p w14:paraId="2681513E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Soetuste puhul hinnapakkumuste koopiad (vähemalt kolm võrreldavat pakkumust kui käibemaksuta maksumus ületab 1000 €)</w:t>
            </w:r>
          </w:p>
          <w:p w14:paraId="4A1682C0" w14:textId="77777777" w:rsidR="00DF4127" w:rsidRPr="00DF4127" w:rsidRDefault="00DF4127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 xml:space="preserve">Hinnapakkumiste võrdlustabel Lisa 1 </w:t>
            </w:r>
          </w:p>
          <w:p w14:paraId="5CA2E7AD" w14:textId="7A6ADBDA" w:rsidR="00DF4127" w:rsidRPr="00DF4127" w:rsidRDefault="00E7326B" w:rsidP="00DF4127">
            <w:pPr>
              <w:numPr>
                <w:ilvl w:val="0"/>
                <w:numId w:val="5"/>
              </w:numPr>
              <w:spacing w:line="240" w:lineRule="exact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  <w:r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Kasumiaruande prognoos</w:t>
            </w:r>
            <w:r w:rsidR="00DF4127"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 xml:space="preserve"> </w:t>
            </w:r>
            <w:r w:rsidR="00DF4127"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NVK Lisa 3</w:t>
            </w:r>
          </w:p>
          <w:p w14:paraId="709EAF36" w14:textId="77777777" w:rsidR="00DF4127" w:rsidRPr="00DF4127" w:rsidRDefault="00DF4127" w:rsidP="00DF4127">
            <w:pPr>
              <w:spacing w:line="240" w:lineRule="exact"/>
              <w:ind w:left="720"/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</w:pPr>
          </w:p>
          <w:p w14:paraId="4D9BDED0" w14:textId="12B4A2E1" w:rsidR="00DF4127" w:rsidRPr="00DF4127" w:rsidRDefault="00DF4127" w:rsidP="00DF4127">
            <w:pPr>
              <w:spacing w:line="240" w:lineRule="exact"/>
              <w:ind w:left="720"/>
              <w:rPr>
                <w:rFonts w:ascii="Cambria Math" w:hAnsi="Cambria Math" w:cs="Arial"/>
                <w:b/>
                <w:sz w:val="22"/>
                <w:szCs w:val="22"/>
                <w:lang w:val="et-EE"/>
              </w:rPr>
            </w:pPr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 xml:space="preserve">NB! Taotlusdokumendid esitatakse </w:t>
            </w:r>
            <w:proofErr w:type="spellStart"/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>e-pria</w:t>
            </w:r>
            <w:proofErr w:type="spellEnd"/>
            <w:r w:rsidRPr="00DF4127">
              <w:rPr>
                <w:rFonts w:ascii="Cambria Math" w:hAnsi="Cambria Math" w:cs="Arial"/>
                <w:bCs/>
                <w:sz w:val="22"/>
                <w:szCs w:val="22"/>
                <w:lang w:val="et-EE"/>
              </w:rPr>
              <w:t xml:space="preserve"> vahendusel</w:t>
            </w:r>
          </w:p>
        </w:tc>
      </w:tr>
    </w:tbl>
    <w:p w14:paraId="021CAFC1" w14:textId="3FE158F1" w:rsidR="00AA668D" w:rsidRDefault="00AA668D" w:rsidP="00AA668D">
      <w:pPr>
        <w:spacing w:before="11" w:line="240" w:lineRule="exact"/>
        <w:rPr>
          <w:rFonts w:ascii="Cambria Math" w:hAnsi="Cambria Math" w:cs="Arial"/>
          <w:sz w:val="22"/>
          <w:szCs w:val="22"/>
          <w:lang w:val="et-EE"/>
        </w:rPr>
      </w:pPr>
    </w:p>
    <w:p w14:paraId="431DD983" w14:textId="77777777" w:rsidR="00AA668D" w:rsidRPr="00AA668D" w:rsidRDefault="00AA668D" w:rsidP="00AA668D">
      <w:pPr>
        <w:spacing w:before="11" w:line="240" w:lineRule="exact"/>
        <w:rPr>
          <w:rFonts w:ascii="Cambria Math" w:hAnsi="Cambria Math" w:cs="Arial"/>
          <w:sz w:val="22"/>
          <w:szCs w:val="22"/>
          <w:lang w:val="et-EE"/>
        </w:rPr>
      </w:pPr>
    </w:p>
    <w:sectPr w:rsidR="00AA668D" w:rsidRPr="00AA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4EFF" w14:textId="77777777" w:rsidR="008F1BCC" w:rsidRDefault="008F1BCC" w:rsidP="00AA668D">
      <w:r>
        <w:separator/>
      </w:r>
    </w:p>
  </w:endnote>
  <w:endnote w:type="continuationSeparator" w:id="0">
    <w:p w14:paraId="49A9B2F8" w14:textId="77777777" w:rsidR="008F1BCC" w:rsidRDefault="008F1BCC" w:rsidP="00A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3BE" w14:textId="77777777" w:rsidR="008F1BCC" w:rsidRDefault="008F1BCC" w:rsidP="00AA668D">
      <w:r>
        <w:separator/>
      </w:r>
    </w:p>
  </w:footnote>
  <w:footnote w:type="continuationSeparator" w:id="0">
    <w:p w14:paraId="524CFD24" w14:textId="77777777" w:rsidR="008F1BCC" w:rsidRDefault="008F1BCC" w:rsidP="00AA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10E"/>
    <w:multiLevelType w:val="hybridMultilevel"/>
    <w:tmpl w:val="4CAA7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B09"/>
    <w:multiLevelType w:val="hybridMultilevel"/>
    <w:tmpl w:val="820472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6B5"/>
    <w:multiLevelType w:val="hybridMultilevel"/>
    <w:tmpl w:val="BC081572"/>
    <w:lvl w:ilvl="0" w:tplc="B3929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1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0C5EA1"/>
    <w:multiLevelType w:val="hybridMultilevel"/>
    <w:tmpl w:val="2C3A3B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A6"/>
    <w:rsid w:val="008F1BCC"/>
    <w:rsid w:val="00AA668D"/>
    <w:rsid w:val="00CB70A6"/>
    <w:rsid w:val="00DE2FBA"/>
    <w:rsid w:val="00DF4127"/>
    <w:rsid w:val="00E7326B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3C68"/>
  <w15:chartTrackingRefBased/>
  <w15:docId w15:val="{7868927D-734F-4C90-BDB5-74FFCD7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uiPriority w:val="59"/>
    <w:rsid w:val="00AA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A668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66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A668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668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3</cp:revision>
  <dcterms:created xsi:type="dcterms:W3CDTF">2021-09-01T10:33:00Z</dcterms:created>
  <dcterms:modified xsi:type="dcterms:W3CDTF">2021-09-01T11:13:00Z</dcterms:modified>
</cp:coreProperties>
</file>