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Y="-1410"/>
        <w:tblW w:w="5000" w:type="pct"/>
        <w:tblCellMar>
          <w:left w:w="70" w:type="dxa"/>
          <w:right w:w="70" w:type="dxa"/>
        </w:tblCellMar>
        <w:tblLook w:val="05A0" w:firstRow="1" w:lastRow="0" w:firstColumn="1" w:lastColumn="1" w:noHBand="0" w:noVBand="1"/>
      </w:tblPr>
      <w:tblGrid>
        <w:gridCol w:w="5978"/>
        <w:gridCol w:w="5888"/>
        <w:gridCol w:w="305"/>
        <w:gridCol w:w="305"/>
        <w:gridCol w:w="305"/>
        <w:gridCol w:w="305"/>
        <w:gridCol w:w="305"/>
        <w:gridCol w:w="308"/>
        <w:gridCol w:w="305"/>
      </w:tblGrid>
      <w:tr w:rsidR="000951C3" w:rsidRPr="007A5275" w14:paraId="090328CD" w14:textId="77777777" w:rsidTr="000951C3">
        <w:trPr>
          <w:trHeight w:val="300"/>
        </w:trPr>
        <w:tc>
          <w:tcPr>
            <w:tcW w:w="5000" w:type="pct"/>
            <w:gridSpan w:val="9"/>
            <w:tcBorders>
              <w:top w:val="nil"/>
              <w:left w:val="nil"/>
              <w:bottom w:val="nil"/>
              <w:right w:val="nil"/>
            </w:tcBorders>
            <w:shd w:val="clear" w:color="000000" w:fill="FFFFFF"/>
            <w:vAlign w:val="bottom"/>
            <w:hideMark/>
          </w:tcPr>
          <w:p w14:paraId="671AC4F7" w14:textId="77777777" w:rsidR="000951C3" w:rsidRPr="007A5275" w:rsidRDefault="000951C3" w:rsidP="000951C3">
            <w:pPr>
              <w:spacing w:after="0" w:line="240" w:lineRule="auto"/>
              <w:jc w:val="center"/>
              <w:rPr>
                <w:rFonts w:eastAsia="Times New Roman" w:cs="Times New Roman"/>
                <w:b/>
                <w:bCs/>
                <w:color w:val="000000"/>
                <w:lang w:eastAsia="et-EE"/>
              </w:rPr>
            </w:pPr>
            <w:r w:rsidRPr="007A5275">
              <w:rPr>
                <w:rFonts w:eastAsia="Times New Roman" w:cs="Times New Roman"/>
                <w:b/>
                <w:bCs/>
                <w:color w:val="000000"/>
                <w:lang w:eastAsia="et-EE"/>
              </w:rPr>
              <w:t>C. STRATEEGIA MEEDE ¹</w:t>
            </w:r>
          </w:p>
        </w:tc>
      </w:tr>
      <w:tr w:rsidR="000951C3" w:rsidRPr="007A5275" w14:paraId="2C685C9D" w14:textId="77777777" w:rsidTr="000951C3">
        <w:trPr>
          <w:trHeight w:val="285"/>
        </w:trPr>
        <w:tc>
          <w:tcPr>
            <w:tcW w:w="5000" w:type="pct"/>
            <w:gridSpan w:val="9"/>
            <w:tcBorders>
              <w:top w:val="nil"/>
              <w:left w:val="nil"/>
              <w:bottom w:val="nil"/>
              <w:right w:val="nil"/>
            </w:tcBorders>
            <w:shd w:val="clear" w:color="000000" w:fill="FFFFFF"/>
            <w:noWrap/>
            <w:hideMark/>
          </w:tcPr>
          <w:p w14:paraId="5940F79E" w14:textId="77777777" w:rsidR="000951C3" w:rsidRPr="007A5275" w:rsidRDefault="000951C3" w:rsidP="000951C3">
            <w:pPr>
              <w:spacing w:after="0" w:line="240" w:lineRule="auto"/>
              <w:jc w:val="center"/>
              <w:rPr>
                <w:rFonts w:eastAsia="Times New Roman" w:cs="Times New Roman"/>
                <w:color w:val="000000"/>
                <w:lang w:eastAsia="et-EE"/>
              </w:rPr>
            </w:pPr>
            <w:r w:rsidRPr="007A5275">
              <w:rPr>
                <w:rFonts w:eastAsia="Times New Roman" w:cs="Times New Roman"/>
                <w:color w:val="000000"/>
                <w:lang w:eastAsia="et-EE"/>
              </w:rPr>
              <w:t> </w:t>
            </w:r>
          </w:p>
        </w:tc>
      </w:tr>
      <w:tr w:rsidR="000951C3" w:rsidRPr="007A5275" w14:paraId="69EC3148" w14:textId="77777777" w:rsidTr="000951C3">
        <w:trPr>
          <w:trHeight w:val="285"/>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noWrap/>
            <w:hideMark/>
          </w:tcPr>
          <w:p w14:paraId="3AB5C24F" w14:textId="77777777" w:rsidR="000951C3" w:rsidRPr="007A5275" w:rsidRDefault="000951C3" w:rsidP="000951C3">
            <w:pPr>
              <w:spacing w:after="0" w:line="240" w:lineRule="auto"/>
              <w:rPr>
                <w:rFonts w:eastAsia="Times New Roman" w:cs="Times New Roman"/>
                <w:color w:val="000000"/>
                <w:lang w:eastAsia="et-EE"/>
              </w:rPr>
            </w:pPr>
            <w:r w:rsidRPr="007A5275">
              <w:rPr>
                <w:rFonts w:eastAsia="Times New Roman" w:cs="Times New Roman"/>
                <w:color w:val="000000"/>
                <w:lang w:eastAsia="et-EE"/>
              </w:rPr>
              <w:t>1. Strateegia meetme nimetus</w:t>
            </w:r>
          </w:p>
        </w:tc>
      </w:tr>
      <w:tr w:rsidR="000951C3" w:rsidRPr="007A5275" w14:paraId="0F610F63" w14:textId="77777777" w:rsidTr="000951C3">
        <w:trPr>
          <w:trHeight w:val="66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hideMark/>
          </w:tcPr>
          <w:p w14:paraId="252B762B" w14:textId="77777777" w:rsidR="000951C3" w:rsidRPr="007A5275" w:rsidRDefault="000951C3" w:rsidP="000951C3">
            <w:pPr>
              <w:spacing w:after="0" w:line="240" w:lineRule="auto"/>
              <w:jc w:val="center"/>
              <w:rPr>
                <w:rFonts w:eastAsia="Times New Roman" w:cs="Times New Roman"/>
                <w:b/>
                <w:color w:val="000000"/>
                <w:lang w:eastAsia="et-EE"/>
              </w:rPr>
            </w:pPr>
            <w:r w:rsidRPr="007A5275">
              <w:rPr>
                <w:rFonts w:eastAsia="Times New Roman" w:cs="Arial"/>
                <w:b/>
                <w:noProof/>
                <w:color w:val="000000"/>
                <w:lang w:eastAsia="et-EE"/>
              </w:rPr>
              <w:t>Meede 1 Kogukondade investeeringute toetamine</w:t>
            </w:r>
          </w:p>
        </w:tc>
      </w:tr>
      <w:tr w:rsidR="000951C3" w:rsidRPr="007A5275" w14:paraId="7A0C4691" w14:textId="77777777" w:rsidTr="000951C3">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noWrap/>
            <w:hideMark/>
          </w:tcPr>
          <w:p w14:paraId="1998128C" w14:textId="77777777" w:rsidR="000951C3" w:rsidRPr="007A5275" w:rsidRDefault="000951C3" w:rsidP="000951C3">
            <w:pPr>
              <w:spacing w:after="0" w:line="240" w:lineRule="auto"/>
              <w:rPr>
                <w:rFonts w:eastAsia="Times New Roman" w:cs="Times New Roman"/>
                <w:color w:val="000000"/>
                <w:lang w:eastAsia="et-EE"/>
              </w:rPr>
            </w:pPr>
            <w:r w:rsidRPr="007A5275">
              <w:rPr>
                <w:rFonts w:eastAsia="Times New Roman" w:cs="Times New Roman"/>
                <w:color w:val="000000"/>
                <w:lang w:eastAsia="et-EE"/>
              </w:rPr>
              <w:t>2. Strateegia meetme rakendamise vajaduse lühikirjeldus</w:t>
            </w:r>
          </w:p>
        </w:tc>
      </w:tr>
      <w:tr w:rsidR="000951C3" w:rsidRPr="007A5275" w14:paraId="6018BF04" w14:textId="77777777" w:rsidTr="000951C3">
        <w:trPr>
          <w:trHeight w:val="177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tcPr>
          <w:p w14:paraId="43FC3458" w14:textId="77777777" w:rsidR="000951C3" w:rsidRPr="007A5275" w:rsidRDefault="000951C3" w:rsidP="000951C3">
            <w:pPr>
              <w:rPr>
                <w:rFonts w:cs="Arial"/>
                <w:noProof/>
              </w:rPr>
            </w:pPr>
            <w:r w:rsidRPr="007A5275">
              <w:rPr>
                <w:rFonts w:cs="Arial"/>
                <w:noProof/>
              </w:rPr>
              <w:t>NVK tegevuspiirkonna elanike arv on viimase dekaadi jooksul jõudsalt kasvanud. Samuti on elanikkond noorenenud ja veelgi noorenemas. Kohalikud omavalitsused on teinud pingutusi, tagamaks kõikidele avalike teenuste kättesaadavust. Sellest hoolimata on aga jätkuvalt vaba aja veetmise võimalused puudulikud. Uusasumeid on rajatud kiiremini kui toetavat sotsiaalset infrastruktuuri. Seega on elukeskkonna kvaliteedi parandamiseks tarvis investeerida vaba aja taristusse, üldist elukeskkonda kujundavatesse objektidesse ja ka turvalisusse.</w:t>
            </w:r>
          </w:p>
          <w:p w14:paraId="3D70DDA0" w14:textId="77777777" w:rsidR="000E69B6" w:rsidRPr="007A5275" w:rsidRDefault="000E69B6" w:rsidP="000951C3">
            <w:pPr>
              <w:rPr>
                <w:rFonts w:cs="Arial"/>
                <w:noProof/>
              </w:rPr>
            </w:pPr>
            <w:r w:rsidRPr="007A5275">
              <w:rPr>
                <w:rFonts w:cs="Times New Roman"/>
                <w:noProof/>
              </w:rPr>
              <w:t>Meede nr 1 on suunatud NVK tegevuspiirkonna kohaliku arengu soodustamisele, suurendades sotsiaalset kaasatust (meetmest toetatavad projektid loovad tingimused kogukondade edasiseks arenemiseks). Samuti mitmekesistavad meetmest 1 toetatud projektid NVK elukeskkonda</w:t>
            </w:r>
          </w:p>
          <w:p w14:paraId="2DF30BCF" w14:textId="77777777" w:rsidR="000951C3" w:rsidRPr="007A5275" w:rsidRDefault="000951C3" w:rsidP="000951C3">
            <w:pPr>
              <w:spacing w:after="0" w:line="240" w:lineRule="auto"/>
              <w:jc w:val="center"/>
              <w:rPr>
                <w:rFonts w:eastAsia="Times New Roman" w:cs="Times New Roman"/>
                <w:color w:val="000000"/>
                <w:lang w:eastAsia="et-EE"/>
              </w:rPr>
            </w:pPr>
          </w:p>
        </w:tc>
      </w:tr>
      <w:tr w:rsidR="000951C3" w:rsidRPr="007A5275" w14:paraId="2ADF05FE" w14:textId="77777777" w:rsidTr="000951C3">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3064ECD9" w14:textId="77777777" w:rsidR="000951C3" w:rsidRPr="007A5275" w:rsidRDefault="000951C3" w:rsidP="000951C3">
            <w:pPr>
              <w:spacing w:after="0" w:line="240" w:lineRule="auto"/>
              <w:rPr>
                <w:rFonts w:eastAsia="Times New Roman" w:cs="Times New Roman"/>
                <w:color w:val="000000"/>
                <w:lang w:eastAsia="et-EE"/>
              </w:rPr>
            </w:pPr>
            <w:r w:rsidRPr="007A5275">
              <w:rPr>
                <w:rFonts w:eastAsia="Times New Roman" w:cs="Times New Roman"/>
                <w:color w:val="000000"/>
                <w:lang w:eastAsia="et-EE"/>
              </w:rPr>
              <w:t xml:space="preserve">3. Strateegia meetme eesmärk  </w:t>
            </w:r>
          </w:p>
        </w:tc>
      </w:tr>
      <w:tr w:rsidR="000951C3" w:rsidRPr="007A5275" w14:paraId="141B501A" w14:textId="77777777" w:rsidTr="007767C7">
        <w:trPr>
          <w:trHeight w:val="726"/>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48F5ADDA" w14:textId="77777777" w:rsidR="000951C3" w:rsidRPr="007A5275" w:rsidRDefault="000951C3" w:rsidP="000951C3">
            <w:pPr>
              <w:rPr>
                <w:rFonts w:cs="Times New Roman"/>
                <w:noProof/>
              </w:rPr>
            </w:pPr>
            <w:r w:rsidRPr="007A5275">
              <w:rPr>
                <w:rFonts w:cs="Times New Roman"/>
                <w:b/>
                <w:noProof/>
              </w:rPr>
              <w:t>Meetme rakendamise eesmärgiks on</w:t>
            </w:r>
            <w:r w:rsidRPr="007A5275">
              <w:rPr>
                <w:rFonts w:cs="Times New Roman"/>
                <w:noProof/>
              </w:rPr>
              <w:t xml:space="preserve"> inimsõbraliku ja turvalise elukeskkonna loomine NVK tegevuspiirkonnas läbi vaba aja veetmise võimaluste laiendamise, avaliku ruumi kujundamise ja turvalisuse tõstmise.</w:t>
            </w:r>
            <w:r w:rsidRPr="007A5275">
              <w:rPr>
                <w:rFonts w:eastAsia="Times New Roman" w:cs="Times New Roman"/>
                <w:noProof/>
                <w:color w:val="000000"/>
                <w:lang w:eastAsia="et-EE"/>
              </w:rPr>
              <w:t> </w:t>
            </w:r>
          </w:p>
        </w:tc>
      </w:tr>
      <w:tr w:rsidR="000951C3" w:rsidRPr="007A5275" w14:paraId="0A4C1748" w14:textId="77777777" w:rsidTr="000951C3">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76DCA8FE" w14:textId="77777777" w:rsidR="000951C3" w:rsidRPr="007A5275" w:rsidRDefault="000951C3" w:rsidP="000951C3">
            <w:pPr>
              <w:spacing w:after="0" w:line="240" w:lineRule="auto"/>
              <w:rPr>
                <w:rFonts w:eastAsia="Times New Roman" w:cs="Times New Roman"/>
                <w:color w:val="000000"/>
                <w:lang w:eastAsia="et-EE"/>
              </w:rPr>
            </w:pPr>
            <w:r w:rsidRPr="007A5275">
              <w:rPr>
                <w:rFonts w:eastAsia="Times New Roman" w:cs="Times New Roman"/>
                <w:color w:val="000000"/>
                <w:lang w:eastAsia="et-EE"/>
              </w:rPr>
              <w:t xml:space="preserve">4. Toetatavad tegevused² </w:t>
            </w:r>
          </w:p>
        </w:tc>
      </w:tr>
      <w:tr w:rsidR="000951C3" w:rsidRPr="007A5275" w14:paraId="7BCC3A98" w14:textId="77777777" w:rsidTr="000951C3">
        <w:trPr>
          <w:trHeight w:val="177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2425D423" w14:textId="77777777" w:rsidR="007767C7" w:rsidRPr="007A5275" w:rsidRDefault="000951C3" w:rsidP="007767C7">
            <w:pPr>
              <w:pStyle w:val="Loendilik"/>
              <w:numPr>
                <w:ilvl w:val="0"/>
                <w:numId w:val="1"/>
              </w:numPr>
              <w:rPr>
                <w:rFonts w:cs="Arial"/>
                <w:noProof/>
                <w:sz w:val="22"/>
                <w:lang w:val="et-EE"/>
              </w:rPr>
            </w:pPr>
            <w:r w:rsidRPr="007A5275">
              <w:rPr>
                <w:rFonts w:eastAsia="Times New Roman" w:cs="Times New Roman"/>
                <w:color w:val="000000"/>
                <w:lang w:val="et-EE" w:eastAsia="et-EE"/>
              </w:rPr>
              <w:t> </w:t>
            </w:r>
            <w:r w:rsidR="007767C7" w:rsidRPr="007A5275">
              <w:rPr>
                <w:rFonts w:cs="Arial"/>
                <w:noProof/>
                <w:sz w:val="22"/>
                <w:lang w:val="et-EE"/>
              </w:rPr>
              <w:t xml:space="preserve">Investeeringud ehitistesse, rajatistesse, taristusse, sisustusse ja seadmetesse, mis saab konkreetse projekti raames lõplikult valmis (väljastatakse kasutusluba) </w:t>
            </w:r>
          </w:p>
          <w:p w14:paraId="5A481848" w14:textId="77777777" w:rsidR="007767C7" w:rsidRPr="007A5275" w:rsidRDefault="007767C7" w:rsidP="007767C7">
            <w:pPr>
              <w:pStyle w:val="Loendilik"/>
              <w:numPr>
                <w:ilvl w:val="0"/>
                <w:numId w:val="1"/>
              </w:numPr>
              <w:rPr>
                <w:rFonts w:cs="Arial"/>
                <w:noProof/>
                <w:sz w:val="22"/>
                <w:lang w:val="et-EE"/>
              </w:rPr>
            </w:pPr>
            <w:r w:rsidRPr="007A5275">
              <w:rPr>
                <w:rFonts w:cs="Arial"/>
                <w:noProof/>
                <w:sz w:val="22"/>
                <w:lang w:val="et-EE"/>
              </w:rPr>
              <w:t>Investeeringuga seotud järelevalvetegevused</w:t>
            </w:r>
          </w:p>
          <w:p w14:paraId="1AD86CA2" w14:textId="77777777" w:rsidR="000A5672" w:rsidRPr="007A5275" w:rsidRDefault="007767C7" w:rsidP="000A5672">
            <w:pPr>
              <w:pStyle w:val="Loendilik"/>
              <w:numPr>
                <w:ilvl w:val="0"/>
                <w:numId w:val="1"/>
              </w:numPr>
              <w:rPr>
                <w:rFonts w:cs="Arial"/>
                <w:noProof/>
                <w:sz w:val="22"/>
                <w:lang w:val="et-EE"/>
              </w:rPr>
            </w:pPr>
            <w:r w:rsidRPr="007A5275">
              <w:rPr>
                <w:rFonts w:cs="Arial"/>
                <w:noProof/>
                <w:sz w:val="22"/>
                <w:lang w:val="et-EE"/>
              </w:rPr>
              <w:t>Investeeringut ette valmistavad tegevused, kui need viiakse ellu sama investeeringuprojekti raames ja mis ei ületa 3% kogu projekti mahust</w:t>
            </w:r>
          </w:p>
        </w:tc>
      </w:tr>
      <w:tr w:rsidR="000951C3" w:rsidRPr="007A5275" w14:paraId="07A0CCAC" w14:textId="77777777" w:rsidTr="000951C3">
        <w:trPr>
          <w:trHeight w:val="765"/>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64F0DED0" w14:textId="77777777" w:rsidR="000951C3" w:rsidRPr="007A5275" w:rsidRDefault="000951C3" w:rsidP="000951C3">
            <w:pPr>
              <w:spacing w:after="0" w:line="240" w:lineRule="auto"/>
              <w:rPr>
                <w:rFonts w:eastAsia="Times New Roman" w:cs="Times New Roman"/>
                <w:lang w:eastAsia="et-EE"/>
              </w:rPr>
            </w:pPr>
            <w:r w:rsidRPr="007A5275">
              <w:rPr>
                <w:rFonts w:eastAsia="Times New Roman" w:cs="Times New Roman"/>
                <w:lang w:eastAsia="et-EE"/>
              </w:rPr>
              <w:t>5. Kohaliku tegevusgrupi nõuded projektitoetuse taotlejale ja toetuse saajale (sh. dokumendid , mida peab projektitoetuse taotleja esitama taotluse esitamisel)</w:t>
            </w:r>
          </w:p>
        </w:tc>
      </w:tr>
      <w:tr w:rsidR="000951C3" w:rsidRPr="007A5275" w14:paraId="1B2F8BDE" w14:textId="77777777" w:rsidTr="000951C3">
        <w:trPr>
          <w:trHeight w:val="177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3ED8A6AB" w14:textId="77777777" w:rsidR="00BA3B15" w:rsidRPr="007A5275" w:rsidRDefault="00BA3B15" w:rsidP="00BA3B15">
            <w:pPr>
              <w:rPr>
                <w:rFonts w:eastAsia="Times New Roman" w:cs="Times New Roman"/>
                <w:b/>
                <w:color w:val="000000"/>
                <w:lang w:eastAsia="et-EE"/>
              </w:rPr>
            </w:pPr>
            <w:r w:rsidRPr="007A5275">
              <w:rPr>
                <w:rFonts w:eastAsia="Times New Roman" w:cs="Times New Roman"/>
                <w:b/>
                <w:color w:val="000000"/>
                <w:lang w:eastAsia="et-EE"/>
              </w:rPr>
              <w:lastRenderedPageBreak/>
              <w:t>Projektitoetuse taotlejale esitatavad nõuded</w:t>
            </w:r>
          </w:p>
          <w:p w14:paraId="187ED334"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(1) Projektitoetust võivad taotleda kohaliku tegevusgrupi toetust saanud kohaliku tegevusgrupi tegevuspiirkonnas tegutsev ettevõtja, kohaliku omavalitsuse üksus, sihtasutus, seltsing, põllu- ja maamajanduse valdkonna riigimuuseum ning mittetulundusühing, sealhulgas kohalik tegevusgrupp (edaspidi koos projektitoetuse taotleja).</w:t>
            </w:r>
          </w:p>
          <w:p w14:paraId="547926A4"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(2) Kohaliku tegevusgrupi projektitaotlus peab olema vastu võetud kohaliku tegevusgrupi üldkoosoleku otsusega, millest peab nähtuma projektitaotluse vastavus strateegias ja rakenduskavas esitatud nõuetele.</w:t>
            </w:r>
          </w:p>
          <w:p w14:paraId="46CC369F"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(3) Projektitoetuse taotleja vastab projektitoetuse saamiseks esitatavatele nõuetele, kui:</w:t>
            </w:r>
          </w:p>
          <w:p w14:paraId="235851D2"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1) ta on seltsing ja seltsinguleping on sõlmitud kirjalikult vähemalt viieks aastaks arvates PRIA poolt viimase toetusosa väljamaksmisest;</w:t>
            </w:r>
          </w:p>
          <w:p w14:paraId="0E47B9E3"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2) ta vastab Euroopa Parlamendi ja nõukogu määruse (EL) nr 1305/2013 III jaotise I peatükis ja strateegia meetmes nimetatud taotleja kohta esitatud nõuetele ning riigiabi reeglitest tulenevatele nõuetele;</w:t>
            </w:r>
          </w:p>
          <w:p w14:paraId="70B2EFB6"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3) tal ei ole riikliku maksu võlga või tema riikliku maksu võla tasumine on ajatatud ja maksuvõla tasumise ajatamise korral on maksuvõlg, mille tasumise tähtaeg on möödunud, tasutud ettenähtud summas;</w:t>
            </w:r>
          </w:p>
          <w:p w14:paraId="1BA30671"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4) ta ei ole saanud ega taotle samal ajal sama tegevuse või investeeringuobjekti kohta toetust riigieelarvelistest või muudest Euroopa Liidu või </w:t>
            </w:r>
            <w:proofErr w:type="spellStart"/>
            <w:r w:rsidRPr="007A5275">
              <w:rPr>
                <w:rFonts w:eastAsia="Times New Roman" w:cs="Times New Roman"/>
                <w:color w:val="000000"/>
                <w:lang w:eastAsia="et-EE"/>
              </w:rPr>
              <w:t>välisvahenditest</w:t>
            </w:r>
            <w:proofErr w:type="spellEnd"/>
            <w:r w:rsidRPr="007A5275">
              <w:rPr>
                <w:rFonts w:eastAsia="Times New Roman" w:cs="Times New Roman"/>
                <w:color w:val="000000"/>
                <w:lang w:eastAsia="et-EE"/>
              </w:rPr>
              <w:t xml:space="preserve"> või muud </w:t>
            </w:r>
            <w:proofErr w:type="spellStart"/>
            <w:r w:rsidRPr="007A5275">
              <w:rPr>
                <w:rFonts w:eastAsia="Times New Roman" w:cs="Times New Roman"/>
                <w:color w:val="000000"/>
                <w:lang w:eastAsia="et-EE"/>
              </w:rPr>
              <w:t>tagastamatut</w:t>
            </w:r>
            <w:proofErr w:type="spellEnd"/>
            <w:r w:rsidRPr="007A5275">
              <w:rPr>
                <w:rFonts w:eastAsia="Times New Roman" w:cs="Times New Roman"/>
                <w:color w:val="000000"/>
                <w:lang w:eastAsia="et-EE"/>
              </w:rPr>
              <w:t xml:space="preserve"> riigiabi;</w:t>
            </w:r>
          </w:p>
          <w:p w14:paraId="583AD120"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5) ta on varem riigieelarvelistest või muudest Euroopa Liidu või </w:t>
            </w:r>
            <w:proofErr w:type="spellStart"/>
            <w:r w:rsidRPr="007A5275">
              <w:rPr>
                <w:rFonts w:eastAsia="Times New Roman" w:cs="Times New Roman"/>
                <w:color w:val="000000"/>
                <w:lang w:eastAsia="et-EE"/>
              </w:rPr>
              <w:t>välisvahenditest</w:t>
            </w:r>
            <w:proofErr w:type="spellEnd"/>
            <w:r w:rsidRPr="007A5275">
              <w:rPr>
                <w:rFonts w:eastAsia="Times New Roman" w:cs="Times New Roman"/>
                <w:color w:val="000000"/>
                <w:lang w:eastAsia="et-EE"/>
              </w:rPr>
              <w:t xml:space="preserve"> saadud ja tagasimaksmisele kuulunud summa tähtajal tagasi maksnud või toetuse tagasimaksmise ajatamise korral tagasimaksed tasunud ettenähtud summas;</w:t>
            </w:r>
          </w:p>
          <w:p w14:paraId="63759BAE"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6) tema suhtes ei ole algatatud likvideerimismenetlust ega kohtuotsusega välja kuulutatud pankrotti;</w:t>
            </w:r>
          </w:p>
          <w:p w14:paraId="31E240FF"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7) tähtajaliselt asutatud projektitoetuse taotleja puhul ei ole see tähtaeg lühem kui viis aastat arvates PRIA poolt viimase toetusosa väljamaksmisest.</w:t>
            </w:r>
          </w:p>
          <w:p w14:paraId="4FE447DC" w14:textId="77777777" w:rsidR="00BA3B15" w:rsidRPr="007A5275" w:rsidRDefault="00BA3B15" w:rsidP="00BA3B15">
            <w:pPr>
              <w:rPr>
                <w:rFonts w:cs="Arial"/>
                <w:noProof/>
              </w:rPr>
            </w:pPr>
            <w:r w:rsidRPr="007A5275">
              <w:rPr>
                <w:rFonts w:eastAsia="Times New Roman" w:cs="Times New Roman"/>
                <w:color w:val="000000"/>
                <w:lang w:eastAsia="et-EE"/>
              </w:rPr>
              <w:t xml:space="preserve"> (4) Projektitoetuse taotleja ei või toetatava tegevuse elluviimist või investeeringu tegemist alustada varem ja tegevuse elluviimist või investeeringu tegemist tõendavad dokumendid ei või olla väljastatud varem kui kohaliku tegevusgrupi poolt projektitaotluse </w:t>
            </w:r>
            <w:proofErr w:type="spellStart"/>
            <w:r w:rsidRPr="007A5275">
              <w:rPr>
                <w:rFonts w:eastAsia="Times New Roman" w:cs="Times New Roman"/>
                <w:color w:val="000000"/>
                <w:lang w:eastAsia="et-EE"/>
              </w:rPr>
              <w:t>PRIAle</w:t>
            </w:r>
            <w:proofErr w:type="spellEnd"/>
            <w:r w:rsidRPr="007A5275">
              <w:rPr>
                <w:rFonts w:eastAsia="Times New Roman" w:cs="Times New Roman"/>
                <w:color w:val="000000"/>
                <w:lang w:eastAsia="et-EE"/>
              </w:rPr>
              <w:t xml:space="preserve"> esitamise päevale järgneval päeval.</w:t>
            </w:r>
            <w:r w:rsidR="000951C3" w:rsidRPr="007A5275">
              <w:rPr>
                <w:rFonts w:eastAsia="Times New Roman" w:cs="Times New Roman"/>
                <w:color w:val="000000"/>
                <w:lang w:eastAsia="et-EE"/>
              </w:rPr>
              <w:t> </w:t>
            </w:r>
            <w:r w:rsidR="007767C7" w:rsidRPr="007A5275">
              <w:rPr>
                <w:rFonts w:cs="Arial"/>
                <w:noProof/>
              </w:rPr>
              <w:t xml:space="preserve"> </w:t>
            </w:r>
          </w:p>
          <w:p w14:paraId="03A598DE" w14:textId="77777777" w:rsidR="007767C7" w:rsidRPr="007A5275" w:rsidRDefault="007767C7" w:rsidP="007767C7">
            <w:pPr>
              <w:rPr>
                <w:rFonts w:cs="Arial"/>
                <w:noProof/>
              </w:rPr>
            </w:pPr>
            <w:r w:rsidRPr="007A5275">
              <w:rPr>
                <w:rFonts w:cs="Arial"/>
                <w:b/>
                <w:noProof/>
              </w:rPr>
              <w:t xml:space="preserve">Toetuse saajad </w:t>
            </w:r>
            <w:r w:rsidRPr="007A5275">
              <w:rPr>
                <w:rFonts w:cs="Arial"/>
                <w:noProof/>
              </w:rPr>
              <w:t xml:space="preserve"> </w:t>
            </w:r>
          </w:p>
          <w:p w14:paraId="02E63D3E" w14:textId="77777777" w:rsidR="007767C7" w:rsidRPr="007A5275" w:rsidRDefault="007767C7" w:rsidP="000626AB">
            <w:pPr>
              <w:pStyle w:val="Loendilik"/>
              <w:numPr>
                <w:ilvl w:val="0"/>
                <w:numId w:val="5"/>
              </w:numPr>
              <w:rPr>
                <w:rFonts w:cs="Arial"/>
                <w:noProof/>
                <w:sz w:val="22"/>
                <w:szCs w:val="22"/>
                <w:lang w:val="et-EE"/>
              </w:rPr>
            </w:pPr>
            <w:r w:rsidRPr="007A5275">
              <w:rPr>
                <w:rFonts w:cs="Arial"/>
                <w:noProof/>
                <w:sz w:val="22"/>
                <w:szCs w:val="22"/>
                <w:lang w:val="et-EE"/>
              </w:rPr>
              <w:t>Kohalikud omavalitsused</w:t>
            </w:r>
          </w:p>
          <w:p w14:paraId="55C816AA" w14:textId="77777777" w:rsidR="000951C3" w:rsidRPr="007A5275" w:rsidRDefault="007767C7" w:rsidP="000626AB">
            <w:pPr>
              <w:pStyle w:val="Loendilik"/>
              <w:numPr>
                <w:ilvl w:val="0"/>
                <w:numId w:val="5"/>
              </w:numPr>
              <w:rPr>
                <w:rFonts w:eastAsia="Times New Roman" w:cs="Times New Roman"/>
                <w:b/>
                <w:color w:val="000000"/>
                <w:sz w:val="22"/>
                <w:szCs w:val="22"/>
                <w:lang w:val="et-EE" w:eastAsia="et-EE"/>
              </w:rPr>
            </w:pPr>
            <w:r w:rsidRPr="007A5275">
              <w:rPr>
                <w:rFonts w:cs="Arial"/>
                <w:noProof/>
                <w:sz w:val="22"/>
                <w:szCs w:val="22"/>
                <w:lang w:val="et-EE"/>
              </w:rPr>
              <w:t>Kolmanda sektori organisatsioonid (MTÜd ja SAd)</w:t>
            </w:r>
          </w:p>
          <w:p w14:paraId="781A58DD" w14:textId="77777777" w:rsidR="00A47B15" w:rsidRPr="007A5275" w:rsidRDefault="00A47B15" w:rsidP="00A47B15">
            <w:pPr>
              <w:rPr>
                <w:rFonts w:cs="Arial"/>
                <w:b/>
                <w:noProof/>
              </w:rPr>
            </w:pPr>
          </w:p>
          <w:p w14:paraId="25D016B7" w14:textId="77777777" w:rsidR="00A47B15" w:rsidRPr="007A5275" w:rsidRDefault="00A47B15" w:rsidP="00A47B15">
            <w:pPr>
              <w:rPr>
                <w:rFonts w:eastAsia="Times New Roman" w:cs="Times New Roman"/>
                <w:b/>
                <w:color w:val="000000"/>
                <w:lang w:eastAsia="et-EE"/>
              </w:rPr>
            </w:pPr>
            <w:r w:rsidRPr="007A5275">
              <w:rPr>
                <w:rFonts w:cs="Arial"/>
                <w:b/>
                <w:noProof/>
              </w:rPr>
              <w:t>Toetatavad valdkonnad</w:t>
            </w:r>
          </w:p>
          <w:p w14:paraId="3B042AD8" w14:textId="77777777" w:rsidR="00A47B15" w:rsidRPr="007A5275" w:rsidRDefault="00A47B15" w:rsidP="000626AB">
            <w:pPr>
              <w:pStyle w:val="Loendilik"/>
              <w:numPr>
                <w:ilvl w:val="0"/>
                <w:numId w:val="5"/>
              </w:numPr>
              <w:rPr>
                <w:rFonts w:cs="Arial"/>
                <w:noProof/>
                <w:sz w:val="22"/>
                <w:lang w:val="et-EE"/>
              </w:rPr>
            </w:pPr>
            <w:r w:rsidRPr="007A5275">
              <w:rPr>
                <w:rFonts w:cs="Arial"/>
                <w:noProof/>
                <w:sz w:val="22"/>
                <w:lang w:val="et-EE"/>
              </w:rPr>
              <w:t>Vaba aja veetmise võimaluste laiendamine</w:t>
            </w:r>
          </w:p>
          <w:p w14:paraId="29EC7B6F" w14:textId="77777777" w:rsidR="00A47B15" w:rsidRPr="007A5275" w:rsidRDefault="00A47B15" w:rsidP="000626AB">
            <w:pPr>
              <w:pStyle w:val="Loendilik"/>
              <w:numPr>
                <w:ilvl w:val="0"/>
                <w:numId w:val="5"/>
              </w:numPr>
              <w:rPr>
                <w:rFonts w:cs="Arial"/>
                <w:noProof/>
                <w:sz w:val="22"/>
                <w:lang w:val="et-EE"/>
              </w:rPr>
            </w:pPr>
            <w:r w:rsidRPr="007A5275">
              <w:rPr>
                <w:rFonts w:cs="Arial"/>
                <w:noProof/>
                <w:sz w:val="22"/>
                <w:lang w:val="et-EE"/>
              </w:rPr>
              <w:t>Avaliku ruumi kujundamine</w:t>
            </w:r>
          </w:p>
          <w:p w14:paraId="7048186E" w14:textId="77777777" w:rsidR="007767C7" w:rsidRPr="007A5275" w:rsidRDefault="00A47B15" w:rsidP="000626AB">
            <w:pPr>
              <w:pStyle w:val="Loendilik"/>
              <w:numPr>
                <w:ilvl w:val="0"/>
                <w:numId w:val="5"/>
              </w:numPr>
              <w:rPr>
                <w:rFonts w:cs="Arial"/>
                <w:noProof/>
                <w:sz w:val="22"/>
                <w:lang w:val="et-EE"/>
              </w:rPr>
            </w:pPr>
            <w:r w:rsidRPr="007A5275">
              <w:rPr>
                <w:rFonts w:cs="Arial"/>
                <w:noProof/>
                <w:sz w:val="22"/>
                <w:lang w:val="et-EE"/>
              </w:rPr>
              <w:t>Turvalisuse tõstmine</w:t>
            </w:r>
          </w:p>
          <w:p w14:paraId="18DE1C44" w14:textId="77777777" w:rsidR="00A47B15" w:rsidRPr="007A5275" w:rsidRDefault="00A47B15" w:rsidP="007767C7">
            <w:pPr>
              <w:rPr>
                <w:rFonts w:cs="Arial"/>
                <w:b/>
                <w:noProof/>
              </w:rPr>
            </w:pPr>
          </w:p>
          <w:p w14:paraId="1BEF0A30" w14:textId="77777777" w:rsidR="007767C7" w:rsidRPr="007A5275" w:rsidRDefault="007767C7" w:rsidP="007767C7">
            <w:pPr>
              <w:rPr>
                <w:rFonts w:cs="Arial"/>
                <w:b/>
                <w:noProof/>
              </w:rPr>
            </w:pPr>
            <w:r w:rsidRPr="007A5275">
              <w:rPr>
                <w:rFonts w:cs="Arial"/>
                <w:b/>
                <w:noProof/>
              </w:rPr>
              <w:t>Nõuded toetuse saajale</w:t>
            </w:r>
          </w:p>
          <w:p w14:paraId="3C6690BB" w14:textId="77777777" w:rsidR="007767C7" w:rsidRPr="007A5275" w:rsidRDefault="007767C7" w:rsidP="000626AB">
            <w:pPr>
              <w:pStyle w:val="Loendilik"/>
              <w:numPr>
                <w:ilvl w:val="0"/>
                <w:numId w:val="5"/>
              </w:numPr>
              <w:rPr>
                <w:rFonts w:cs="Arial"/>
                <w:noProof/>
                <w:sz w:val="22"/>
                <w:szCs w:val="22"/>
                <w:lang w:val="et-EE"/>
              </w:rPr>
            </w:pPr>
            <w:r w:rsidRPr="007A5275">
              <w:rPr>
                <w:rFonts w:cs="Arial"/>
                <w:noProof/>
                <w:sz w:val="22"/>
                <w:szCs w:val="22"/>
                <w:lang w:val="et-EE"/>
              </w:rPr>
              <w:t>Projekti tegevused viiakse ellu NVK tegevuspiirkonnas</w:t>
            </w:r>
          </w:p>
          <w:p w14:paraId="45CB1FBD" w14:textId="77777777" w:rsidR="007767C7" w:rsidRPr="007A5275" w:rsidRDefault="007767C7" w:rsidP="000626AB">
            <w:pPr>
              <w:pStyle w:val="Loendilik"/>
              <w:numPr>
                <w:ilvl w:val="0"/>
                <w:numId w:val="5"/>
              </w:numPr>
              <w:rPr>
                <w:rFonts w:eastAsia="Times New Roman" w:cs="Times New Roman"/>
                <w:b/>
                <w:color w:val="000000"/>
                <w:sz w:val="22"/>
                <w:szCs w:val="22"/>
                <w:lang w:val="et-EE" w:eastAsia="et-EE"/>
              </w:rPr>
            </w:pPr>
            <w:r w:rsidRPr="007A5275">
              <w:rPr>
                <w:rFonts w:cs="Arial"/>
                <w:noProof/>
                <w:sz w:val="22"/>
                <w:szCs w:val="22"/>
                <w:lang w:val="et-EE"/>
              </w:rPr>
              <w:t xml:space="preserve">Taotleja peab taotluse lisana esitama äriplaani/investeeringu kestlikkuse analüüsi. Vastavad juhendid ja vormid on kättesaadavad kodulehel </w:t>
            </w:r>
            <w:hyperlink r:id="rId8" w:history="1">
              <w:r w:rsidRPr="007A5275">
                <w:rPr>
                  <w:rStyle w:val="Hperlink"/>
                  <w:rFonts w:cs="Arial"/>
                  <w:noProof/>
                  <w:sz w:val="22"/>
                  <w:szCs w:val="22"/>
                  <w:lang w:val="et-EE"/>
                </w:rPr>
                <w:t>www.4kogu.ee</w:t>
              </w:r>
            </w:hyperlink>
            <w:r w:rsidRPr="007A5275">
              <w:rPr>
                <w:rFonts w:cs="Arial"/>
                <w:noProof/>
                <w:sz w:val="22"/>
                <w:szCs w:val="22"/>
                <w:lang w:val="et-EE"/>
              </w:rPr>
              <w:t xml:space="preserve"> </w:t>
            </w:r>
          </w:p>
          <w:p w14:paraId="1C8D6C48" w14:textId="77777777" w:rsidR="000626AB" w:rsidRPr="007A5275" w:rsidRDefault="000626AB" w:rsidP="000626AB">
            <w:pPr>
              <w:pStyle w:val="Loendilik"/>
              <w:numPr>
                <w:ilvl w:val="0"/>
                <w:numId w:val="5"/>
              </w:numPr>
              <w:contextualSpacing w:val="0"/>
              <w:rPr>
                <w:sz w:val="22"/>
                <w:szCs w:val="22"/>
                <w:lang w:val="et-EE"/>
              </w:rPr>
            </w:pPr>
            <w:r w:rsidRPr="007A5275">
              <w:rPr>
                <w:sz w:val="22"/>
                <w:szCs w:val="22"/>
                <w:lang w:val="et-EE"/>
              </w:rPr>
              <w:t>Taotleja peab esitama mitte varasema kui taotluse esitamisele vahetult eelnenud kuu esimese kuupäeva seisuga mittetulundusühingu liikmete nimekirja, v.a usulised ühendused.</w:t>
            </w:r>
          </w:p>
          <w:p w14:paraId="787FB8BB" w14:textId="77777777" w:rsidR="000626AB" w:rsidRPr="007A5275" w:rsidRDefault="000626AB" w:rsidP="000626AB">
            <w:pPr>
              <w:pStyle w:val="Loendilik"/>
              <w:numPr>
                <w:ilvl w:val="0"/>
                <w:numId w:val="5"/>
              </w:numPr>
              <w:spacing w:after="120"/>
              <w:contextualSpacing w:val="0"/>
              <w:rPr>
                <w:sz w:val="22"/>
                <w:szCs w:val="22"/>
                <w:lang w:val="et-EE"/>
              </w:rPr>
            </w:pPr>
            <w:r w:rsidRPr="007A5275">
              <w:rPr>
                <w:sz w:val="22"/>
                <w:szCs w:val="22"/>
                <w:lang w:val="et-EE"/>
              </w:rPr>
              <w:t xml:space="preserve">Taotleja peab esitama eelmise majandusaasta tulude jaotuse, millest nähtub avaliku sektori (riigi, kohaliku omavalitsuse või nende ühenduse, muu avalik-õigusliku juriidilise isiku) toetuse osakaal. </w:t>
            </w:r>
          </w:p>
          <w:p w14:paraId="56DECF13" w14:textId="77777777" w:rsidR="000626AB" w:rsidRPr="007A5275" w:rsidRDefault="000626AB" w:rsidP="000626AB">
            <w:pPr>
              <w:pStyle w:val="Loendilik"/>
              <w:rPr>
                <w:rFonts w:eastAsia="Times New Roman" w:cs="Times New Roman"/>
                <w:b/>
                <w:color w:val="000000"/>
                <w:sz w:val="22"/>
                <w:szCs w:val="22"/>
                <w:lang w:val="et-EE" w:eastAsia="et-EE"/>
              </w:rPr>
            </w:pPr>
          </w:p>
          <w:p w14:paraId="3CBAF088" w14:textId="77777777" w:rsidR="007767C7" w:rsidRPr="007A5275" w:rsidRDefault="007767C7" w:rsidP="007767C7">
            <w:pPr>
              <w:pStyle w:val="Loendilik"/>
              <w:rPr>
                <w:rFonts w:cs="Arial"/>
                <w:noProof/>
                <w:lang w:val="et-EE"/>
              </w:rPr>
            </w:pPr>
          </w:p>
          <w:p w14:paraId="6AAA6912" w14:textId="77777777" w:rsidR="007767C7" w:rsidRPr="007A5275" w:rsidRDefault="007767C7" w:rsidP="007767C7">
            <w:pPr>
              <w:rPr>
                <w:rFonts w:cs="Arial"/>
                <w:b/>
                <w:noProof/>
              </w:rPr>
            </w:pPr>
            <w:r w:rsidRPr="007A5275">
              <w:rPr>
                <w:rFonts w:cs="Arial"/>
                <w:b/>
                <w:noProof/>
              </w:rPr>
              <w:t>Mitteabikõlbulikud tegevused</w:t>
            </w:r>
          </w:p>
          <w:p w14:paraId="268DC550" w14:textId="77777777" w:rsidR="007767C7" w:rsidRPr="007A5275" w:rsidRDefault="007767C7" w:rsidP="000626AB">
            <w:pPr>
              <w:pStyle w:val="Loendilik"/>
              <w:numPr>
                <w:ilvl w:val="0"/>
                <w:numId w:val="5"/>
              </w:numPr>
              <w:rPr>
                <w:rFonts w:cs="Arial"/>
                <w:noProof/>
                <w:sz w:val="22"/>
                <w:lang w:val="et-EE"/>
              </w:rPr>
            </w:pPr>
            <w:r w:rsidRPr="007A5275">
              <w:rPr>
                <w:rFonts w:cs="Arial"/>
                <w:noProof/>
                <w:sz w:val="22"/>
                <w:lang w:val="et-EE"/>
              </w:rPr>
              <w:t>Investeeringut ette valmistavad tegevused, kui need viiakse ellu eraldiseisva projektina</w:t>
            </w:r>
          </w:p>
          <w:p w14:paraId="27D74583" w14:textId="77777777" w:rsidR="007767C7" w:rsidRPr="007A5275" w:rsidRDefault="007767C7" w:rsidP="000626AB">
            <w:pPr>
              <w:pStyle w:val="Loendilik"/>
              <w:numPr>
                <w:ilvl w:val="0"/>
                <w:numId w:val="5"/>
              </w:numPr>
              <w:rPr>
                <w:rFonts w:cs="Arial"/>
                <w:noProof/>
                <w:sz w:val="22"/>
                <w:lang w:val="et-EE"/>
              </w:rPr>
            </w:pPr>
            <w:r w:rsidRPr="007A5275">
              <w:rPr>
                <w:rFonts w:cs="Arial"/>
                <w:noProof/>
                <w:sz w:val="22"/>
                <w:lang w:val="et-EE"/>
              </w:rPr>
              <w:t>Kinnistu ost</w:t>
            </w:r>
          </w:p>
          <w:p w14:paraId="089275F4" w14:textId="77777777" w:rsidR="007767C7" w:rsidRPr="007A5275" w:rsidRDefault="007767C7" w:rsidP="000626AB">
            <w:pPr>
              <w:pStyle w:val="Loendilik"/>
              <w:numPr>
                <w:ilvl w:val="0"/>
                <w:numId w:val="5"/>
              </w:numPr>
              <w:rPr>
                <w:rFonts w:cs="Arial"/>
                <w:noProof/>
                <w:sz w:val="22"/>
                <w:lang w:val="et-EE"/>
              </w:rPr>
            </w:pPr>
            <w:r w:rsidRPr="007A5275">
              <w:rPr>
                <w:rFonts w:cs="Arial"/>
                <w:noProof/>
                <w:sz w:val="22"/>
                <w:lang w:val="et-EE"/>
              </w:rPr>
              <w:t>Projektijuhtimine</w:t>
            </w:r>
          </w:p>
          <w:p w14:paraId="75C3D06D" w14:textId="77777777" w:rsidR="007767C7" w:rsidRPr="007A5275" w:rsidRDefault="007767C7" w:rsidP="000626AB">
            <w:pPr>
              <w:pStyle w:val="Loendilik"/>
              <w:numPr>
                <w:ilvl w:val="0"/>
                <w:numId w:val="5"/>
              </w:numPr>
              <w:rPr>
                <w:rFonts w:cs="Arial"/>
                <w:noProof/>
                <w:sz w:val="22"/>
                <w:lang w:val="et-EE"/>
              </w:rPr>
            </w:pPr>
            <w:r w:rsidRPr="007A5275">
              <w:rPr>
                <w:rFonts w:cs="Arial"/>
                <w:noProof/>
                <w:sz w:val="22"/>
                <w:lang w:val="et-EE"/>
              </w:rPr>
              <w:t>Vabatahtliku töö arvestamine</w:t>
            </w:r>
          </w:p>
          <w:p w14:paraId="741FEE0A" w14:textId="77777777" w:rsidR="007767C7" w:rsidRPr="007A5275" w:rsidRDefault="007767C7" w:rsidP="000626AB">
            <w:pPr>
              <w:pStyle w:val="Loendilik"/>
              <w:numPr>
                <w:ilvl w:val="0"/>
                <w:numId w:val="5"/>
              </w:numPr>
              <w:rPr>
                <w:rFonts w:cs="Arial"/>
                <w:noProof/>
                <w:sz w:val="22"/>
                <w:lang w:val="et-EE"/>
              </w:rPr>
            </w:pPr>
            <w:r w:rsidRPr="007A5275">
              <w:rPr>
                <w:rFonts w:cs="Arial"/>
                <w:noProof/>
                <w:sz w:val="22"/>
                <w:lang w:val="et-EE"/>
              </w:rPr>
              <w:t xml:space="preserve">Kõik </w:t>
            </w:r>
            <w:r w:rsidR="000A5672" w:rsidRPr="007A5275">
              <w:rPr>
                <w:rFonts w:cs="Arial"/>
                <w:noProof/>
                <w:sz w:val="22"/>
                <w:lang w:val="et-EE"/>
              </w:rPr>
              <w:t xml:space="preserve">Leader </w:t>
            </w:r>
            <w:r w:rsidRPr="007A5275">
              <w:rPr>
                <w:rFonts w:cs="Arial"/>
                <w:noProof/>
                <w:sz w:val="22"/>
                <w:lang w:val="et-EE"/>
              </w:rPr>
              <w:t>meetme määruse poolt välistatud mitteabikõlblikud tegevused</w:t>
            </w:r>
          </w:p>
          <w:p w14:paraId="07FBECFF" w14:textId="77777777" w:rsidR="009261E2" w:rsidRPr="007A5275" w:rsidRDefault="009261E2" w:rsidP="009261E2">
            <w:pPr>
              <w:rPr>
                <w:rFonts w:cs="Arial"/>
                <w:b/>
                <w:noProof/>
              </w:rPr>
            </w:pPr>
          </w:p>
          <w:p w14:paraId="66BFB3BF" w14:textId="77777777" w:rsidR="009261E2" w:rsidRPr="007A5275" w:rsidRDefault="009261E2" w:rsidP="009261E2">
            <w:pPr>
              <w:rPr>
                <w:rFonts w:cs="Arial"/>
                <w:b/>
                <w:noProof/>
              </w:rPr>
            </w:pPr>
            <w:r w:rsidRPr="007A5275">
              <w:rPr>
                <w:rFonts w:cs="Arial"/>
                <w:b/>
                <w:noProof/>
              </w:rPr>
              <w:t>Esitatavad dokumendid</w:t>
            </w:r>
          </w:p>
          <w:p w14:paraId="635FA0AB" w14:textId="77777777" w:rsidR="009261E2" w:rsidRPr="007A5275" w:rsidRDefault="009261E2" w:rsidP="009261E2">
            <w:pPr>
              <w:rPr>
                <w:rFonts w:cs="Arial"/>
                <w:b/>
                <w:noProof/>
              </w:rPr>
            </w:pPr>
            <w:r w:rsidRPr="007A5275">
              <w:rPr>
                <w:rFonts w:cs="Arial"/>
                <w:b/>
                <w:noProof/>
              </w:rPr>
              <w:t>1.</w:t>
            </w:r>
            <w:r w:rsidR="00665C1A" w:rsidRPr="007A5275">
              <w:rPr>
                <w:rFonts w:cs="Arial"/>
                <w:b/>
                <w:noProof/>
              </w:rPr>
              <w:t xml:space="preserve">           Projekt</w:t>
            </w:r>
          </w:p>
          <w:p w14:paraId="66A3AABE" w14:textId="03A8D46F" w:rsidR="009261E2" w:rsidRPr="007A5275" w:rsidRDefault="009261E2" w:rsidP="009261E2">
            <w:pPr>
              <w:rPr>
                <w:rFonts w:cs="Arial"/>
                <w:b/>
                <w:noProof/>
              </w:rPr>
            </w:pPr>
            <w:r w:rsidRPr="007A5275">
              <w:rPr>
                <w:rFonts w:cs="Arial"/>
                <w:b/>
                <w:noProof/>
              </w:rPr>
              <w:t>2.</w:t>
            </w:r>
            <w:r w:rsidRPr="007A5275">
              <w:rPr>
                <w:rFonts w:cs="Arial"/>
                <w:b/>
                <w:noProof/>
              </w:rPr>
              <w:tab/>
              <w:t xml:space="preserve">Projekti eelarve / kalkulatsioon </w:t>
            </w:r>
            <w:r w:rsidR="005315C5">
              <w:rPr>
                <w:rFonts w:cs="Arial"/>
                <w:b/>
                <w:noProof/>
              </w:rPr>
              <w:t>projekti vormil</w:t>
            </w:r>
          </w:p>
          <w:p w14:paraId="2FDA2712" w14:textId="77777777" w:rsidR="00665C1A" w:rsidRPr="007A5275" w:rsidRDefault="009261E2" w:rsidP="009261E2">
            <w:pPr>
              <w:rPr>
                <w:rFonts w:cs="Arial"/>
                <w:b/>
                <w:noProof/>
              </w:rPr>
            </w:pPr>
            <w:r w:rsidRPr="007A5275">
              <w:rPr>
                <w:rFonts w:cs="Arial"/>
                <w:b/>
                <w:noProof/>
              </w:rPr>
              <w:lastRenderedPageBreak/>
              <w:t>3.</w:t>
            </w:r>
            <w:r w:rsidRPr="007A5275">
              <w:rPr>
                <w:rFonts w:cs="Arial"/>
                <w:b/>
                <w:noProof/>
              </w:rPr>
              <w:tab/>
              <w:t>Investeeringuobjekti puhul nõutavad dokumendid (ehitusloa koopia, KOV kirjaliku nõusoleku koopia, maa kasutusõigust tõendav dokument, ehitusalased joonised jne vastavalt Maaeluministeeriumi määrusele 23.10.2015 nr 11 (Kohaliku tegevusgrupi toetus ja LEADER-projektitoetus) § 37 lg 4</w:t>
            </w:r>
          </w:p>
          <w:p w14:paraId="5F19B487" w14:textId="77777777" w:rsidR="00FD4A92" w:rsidRPr="007A5275" w:rsidRDefault="00665C1A" w:rsidP="009261E2">
            <w:pPr>
              <w:rPr>
                <w:rFonts w:cs="Arial"/>
                <w:b/>
                <w:noProof/>
              </w:rPr>
            </w:pPr>
            <w:r w:rsidRPr="007A5275">
              <w:rPr>
                <w:rFonts w:cs="Arial"/>
                <w:b/>
                <w:noProof/>
              </w:rPr>
              <w:t>4.         Ehitise puhul  (kui hoone ehitustegevuseks on vajalik ehitusteatis või ehitusluba) peab esitama kavandatava ehitise maksumuse eelarve,  mis on       Microsoft Exceli tarkvaraga töödeldavas vormingus.</w:t>
            </w:r>
            <w:r w:rsidR="009261E2" w:rsidRPr="007A5275">
              <w:rPr>
                <w:rFonts w:cs="Arial"/>
                <w:b/>
                <w:noProof/>
              </w:rPr>
              <w:t xml:space="preserve"> </w:t>
            </w:r>
            <w:r w:rsidRPr="007A5275">
              <w:rPr>
                <w:rFonts w:cs="Arial"/>
                <w:b/>
                <w:noProof/>
              </w:rPr>
              <w:t>(PRIA vormil)</w:t>
            </w:r>
          </w:p>
          <w:p w14:paraId="782F9AD2" w14:textId="1F39A5B7" w:rsidR="009261E2" w:rsidRPr="007A5275" w:rsidRDefault="005315C5" w:rsidP="009261E2">
            <w:pPr>
              <w:rPr>
                <w:rFonts w:cs="Arial"/>
                <w:b/>
                <w:noProof/>
              </w:rPr>
            </w:pPr>
            <w:r>
              <w:rPr>
                <w:rFonts w:cs="Arial"/>
                <w:b/>
                <w:noProof/>
              </w:rPr>
              <w:t>5.</w:t>
            </w:r>
            <w:r w:rsidR="009261E2" w:rsidRPr="007A5275">
              <w:rPr>
                <w:rFonts w:cs="Arial"/>
                <w:b/>
                <w:noProof/>
              </w:rPr>
              <w:tab/>
            </w:r>
            <w:r w:rsidR="00665C1A" w:rsidRPr="007A5275">
              <w:rPr>
                <w:rFonts w:cs="Arial"/>
                <w:b/>
                <w:noProof/>
              </w:rPr>
              <w:t>Soetuste puhul h</w:t>
            </w:r>
            <w:r w:rsidR="009261E2" w:rsidRPr="007A5275">
              <w:rPr>
                <w:rFonts w:cs="Arial"/>
                <w:b/>
                <w:noProof/>
              </w:rPr>
              <w:t xml:space="preserve">innapakkumuste koopiad (vähemalt kolm võrreldavat pakkumust kui käibemaksuta maksumus ületab 1000 €) </w:t>
            </w:r>
          </w:p>
          <w:p w14:paraId="55536D30" w14:textId="3F3C9E38" w:rsidR="009261E2" w:rsidRPr="007A5275" w:rsidRDefault="005315C5" w:rsidP="009261E2">
            <w:pPr>
              <w:rPr>
                <w:rFonts w:cs="Arial"/>
                <w:b/>
                <w:noProof/>
              </w:rPr>
            </w:pPr>
            <w:r>
              <w:rPr>
                <w:rFonts w:cs="Arial"/>
                <w:b/>
                <w:noProof/>
              </w:rPr>
              <w:t>6.</w:t>
            </w:r>
            <w:r w:rsidR="009261E2" w:rsidRPr="007A5275">
              <w:rPr>
                <w:rFonts w:cs="Arial"/>
                <w:b/>
                <w:noProof/>
              </w:rPr>
              <w:tab/>
              <w:t>Projektijuhi CV (vabas vormis)</w:t>
            </w:r>
          </w:p>
          <w:p w14:paraId="7C90B0DC" w14:textId="51CADD88" w:rsidR="009261E2" w:rsidRPr="007A5275" w:rsidRDefault="005315C5" w:rsidP="009261E2">
            <w:pPr>
              <w:rPr>
                <w:rFonts w:cs="Arial"/>
                <w:b/>
                <w:noProof/>
              </w:rPr>
            </w:pPr>
            <w:r>
              <w:rPr>
                <w:rFonts w:cs="Arial"/>
                <w:b/>
                <w:noProof/>
              </w:rPr>
              <w:t>7.</w:t>
            </w:r>
            <w:r w:rsidR="009261E2" w:rsidRPr="007A5275">
              <w:rPr>
                <w:rFonts w:cs="Arial"/>
                <w:b/>
                <w:noProof/>
              </w:rPr>
              <w:tab/>
              <w:t>Hinnapakkumiste võrdlustabel Lisa 2</w:t>
            </w:r>
          </w:p>
          <w:p w14:paraId="55DDF3BD" w14:textId="32E36F9A" w:rsidR="009261E2" w:rsidRPr="007A5275" w:rsidRDefault="009261E2" w:rsidP="009261E2">
            <w:pPr>
              <w:rPr>
                <w:rFonts w:cs="Arial"/>
                <w:b/>
                <w:noProof/>
              </w:rPr>
            </w:pPr>
            <w:r w:rsidRPr="007A5275">
              <w:rPr>
                <w:rFonts w:cs="Arial"/>
                <w:b/>
                <w:noProof/>
              </w:rPr>
              <w:t xml:space="preserve"> </w:t>
            </w:r>
          </w:p>
          <w:p w14:paraId="29F74ACB" w14:textId="77777777" w:rsidR="009261E2" w:rsidRPr="007A5275" w:rsidRDefault="009261E2" w:rsidP="009261E2">
            <w:pPr>
              <w:rPr>
                <w:rFonts w:cs="Arial"/>
                <w:b/>
                <w:noProof/>
              </w:rPr>
            </w:pPr>
            <w:r w:rsidRPr="007A5275">
              <w:rPr>
                <w:rFonts w:cs="Arial"/>
                <w:b/>
                <w:noProof/>
              </w:rPr>
              <w:t>NB! Taotlusdokumendid esitatakse e-pria vahendusel!</w:t>
            </w:r>
          </w:p>
          <w:p w14:paraId="0EFD2770" w14:textId="77777777" w:rsidR="009261E2" w:rsidRPr="007A5275" w:rsidRDefault="009261E2" w:rsidP="009261E2">
            <w:pPr>
              <w:rPr>
                <w:rFonts w:cs="Arial"/>
                <w:b/>
                <w:noProof/>
              </w:rPr>
            </w:pPr>
          </w:p>
          <w:p w14:paraId="20DEB76D" w14:textId="77777777" w:rsidR="009261E2" w:rsidRPr="007A5275" w:rsidRDefault="009261E2" w:rsidP="009261E2">
            <w:pPr>
              <w:rPr>
                <w:rFonts w:cs="Arial"/>
                <w:noProof/>
              </w:rPr>
            </w:pPr>
          </w:p>
        </w:tc>
      </w:tr>
      <w:tr w:rsidR="000951C3" w:rsidRPr="007A5275" w14:paraId="786D4B6B" w14:textId="77777777" w:rsidTr="000951C3">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0A159121" w14:textId="77777777" w:rsidR="000951C3" w:rsidRPr="007A5275" w:rsidRDefault="000951C3" w:rsidP="000951C3">
            <w:pPr>
              <w:spacing w:after="0" w:line="240" w:lineRule="auto"/>
              <w:rPr>
                <w:rFonts w:eastAsia="Times New Roman" w:cs="Times New Roman"/>
                <w:color w:val="000000"/>
                <w:lang w:eastAsia="et-EE"/>
              </w:rPr>
            </w:pPr>
            <w:r w:rsidRPr="007A5275">
              <w:rPr>
                <w:rFonts w:eastAsia="Times New Roman" w:cs="Times New Roman"/>
                <w:color w:val="000000"/>
                <w:lang w:eastAsia="et-EE"/>
              </w:rPr>
              <w:lastRenderedPageBreak/>
              <w:t xml:space="preserve">6. Toetuse maksimaalne suurus ja määr </w:t>
            </w:r>
          </w:p>
        </w:tc>
      </w:tr>
      <w:tr w:rsidR="000951C3" w:rsidRPr="007A5275" w14:paraId="1B30A736" w14:textId="77777777" w:rsidTr="000951C3">
        <w:trPr>
          <w:trHeight w:val="178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13F33D10" w14:textId="49258746" w:rsidR="007767C7" w:rsidRPr="007A5275" w:rsidRDefault="000951C3" w:rsidP="00A47B15">
            <w:pPr>
              <w:pStyle w:val="Loendilik"/>
              <w:numPr>
                <w:ilvl w:val="0"/>
                <w:numId w:val="2"/>
              </w:numPr>
              <w:rPr>
                <w:rFonts w:cs="Arial"/>
                <w:noProof/>
                <w:sz w:val="22"/>
                <w:lang w:val="et-EE"/>
              </w:rPr>
            </w:pPr>
            <w:r w:rsidRPr="007A5275">
              <w:rPr>
                <w:rFonts w:eastAsia="Times New Roman" w:cs="Times New Roman"/>
                <w:color w:val="000000"/>
                <w:lang w:val="et-EE" w:eastAsia="et-EE"/>
              </w:rPr>
              <w:t> </w:t>
            </w:r>
            <w:r w:rsidR="007767C7" w:rsidRPr="007A5275">
              <w:rPr>
                <w:rFonts w:cs="Arial"/>
                <w:noProof/>
                <w:lang w:val="et-EE"/>
              </w:rPr>
              <w:t xml:space="preserve"> </w:t>
            </w:r>
            <w:r w:rsidR="007767C7" w:rsidRPr="007A5275">
              <w:rPr>
                <w:rFonts w:cs="Arial"/>
                <w:noProof/>
                <w:sz w:val="22"/>
                <w:lang w:val="et-EE"/>
              </w:rPr>
              <w:t xml:space="preserve">Minimaalne toetussumma – </w:t>
            </w:r>
            <w:r w:rsidR="00200630">
              <w:rPr>
                <w:rFonts w:cs="Arial"/>
                <w:noProof/>
                <w:sz w:val="22"/>
                <w:lang w:val="et-EE"/>
              </w:rPr>
              <w:t>2</w:t>
            </w:r>
            <w:r w:rsidR="007767C7" w:rsidRPr="007A5275">
              <w:rPr>
                <w:rFonts w:cs="Arial"/>
                <w:noProof/>
                <w:sz w:val="22"/>
                <w:lang w:val="et-EE"/>
              </w:rPr>
              <w:t>000 EUR</w:t>
            </w:r>
          </w:p>
          <w:p w14:paraId="757A4595" w14:textId="6DE408F8" w:rsidR="000951C3" w:rsidRPr="007A5275" w:rsidRDefault="007767C7" w:rsidP="00A47B15">
            <w:pPr>
              <w:pStyle w:val="Loendilik"/>
              <w:numPr>
                <w:ilvl w:val="0"/>
                <w:numId w:val="2"/>
              </w:numPr>
              <w:rPr>
                <w:rFonts w:cs="Arial"/>
                <w:noProof/>
                <w:sz w:val="22"/>
                <w:lang w:val="et-EE"/>
              </w:rPr>
            </w:pPr>
            <w:r w:rsidRPr="007A5275">
              <w:rPr>
                <w:rFonts w:cs="Arial"/>
                <w:noProof/>
                <w:sz w:val="22"/>
                <w:lang w:val="et-EE"/>
              </w:rPr>
              <w:t xml:space="preserve">  Maksimaalne toetussumma – </w:t>
            </w:r>
            <w:r w:rsidR="00200630">
              <w:rPr>
                <w:rFonts w:cs="Arial"/>
                <w:noProof/>
                <w:sz w:val="22"/>
                <w:lang w:val="et-EE"/>
              </w:rPr>
              <w:t>1</w:t>
            </w:r>
            <w:r w:rsidRPr="007A5275">
              <w:rPr>
                <w:rFonts w:cs="Arial"/>
                <w:noProof/>
                <w:sz w:val="22"/>
                <w:lang w:val="et-EE"/>
              </w:rPr>
              <w:t>0 000 EUR</w:t>
            </w:r>
          </w:p>
          <w:p w14:paraId="6ECC5CDD" w14:textId="77777777" w:rsidR="00A47B15" w:rsidRPr="007A5275" w:rsidRDefault="00A47B15" w:rsidP="00A47B15">
            <w:pPr>
              <w:pStyle w:val="Loendilik"/>
              <w:numPr>
                <w:ilvl w:val="0"/>
                <w:numId w:val="2"/>
              </w:numPr>
              <w:rPr>
                <w:rFonts w:cs="Arial"/>
                <w:noProof/>
                <w:sz w:val="22"/>
                <w:lang w:val="et-EE"/>
              </w:rPr>
            </w:pPr>
          </w:p>
          <w:p w14:paraId="31136E51" w14:textId="77777777" w:rsidR="00A47B15" w:rsidRPr="007A5275" w:rsidRDefault="00A47B15" w:rsidP="00A47B15">
            <w:pPr>
              <w:pStyle w:val="Loendilik"/>
              <w:rPr>
                <w:rFonts w:cs="Arial"/>
                <w:b/>
                <w:noProof/>
                <w:sz w:val="22"/>
                <w:lang w:val="et-EE"/>
              </w:rPr>
            </w:pPr>
            <w:r w:rsidRPr="007A5275">
              <w:rPr>
                <w:rFonts w:cs="Arial"/>
                <w:b/>
                <w:noProof/>
                <w:lang w:val="et-EE"/>
              </w:rPr>
              <w:t>Toetuse %</w:t>
            </w:r>
          </w:p>
          <w:p w14:paraId="517BDFC8" w14:textId="77777777" w:rsidR="00A47B15" w:rsidRPr="007A5275" w:rsidRDefault="00A47B15" w:rsidP="00A47B15">
            <w:pPr>
              <w:pStyle w:val="Loendilik"/>
              <w:numPr>
                <w:ilvl w:val="0"/>
                <w:numId w:val="2"/>
              </w:numPr>
              <w:rPr>
                <w:rFonts w:cs="Arial"/>
                <w:noProof/>
                <w:sz w:val="22"/>
                <w:lang w:val="et-EE"/>
              </w:rPr>
            </w:pPr>
            <w:r w:rsidRPr="007A5275">
              <w:rPr>
                <w:rFonts w:cs="Arial"/>
                <w:noProof/>
                <w:sz w:val="22"/>
                <w:lang w:val="et-EE"/>
              </w:rPr>
              <w:t>Valdkond 1.</w:t>
            </w:r>
            <w:r w:rsidRPr="007A5275">
              <w:rPr>
                <w:lang w:val="et-EE"/>
              </w:rPr>
              <w:t xml:space="preserve"> </w:t>
            </w:r>
            <w:r w:rsidRPr="007A5275">
              <w:rPr>
                <w:rFonts w:cs="Arial"/>
                <w:noProof/>
                <w:sz w:val="22"/>
                <w:lang w:val="et-EE"/>
              </w:rPr>
              <w:t>Vaba aja veetmise võimaluste laiendamine. 90%</w:t>
            </w:r>
          </w:p>
          <w:p w14:paraId="1844EB01" w14:textId="77777777" w:rsidR="00A47B15" w:rsidRPr="007A5275" w:rsidRDefault="00A47B15" w:rsidP="00A47B15">
            <w:pPr>
              <w:pStyle w:val="Loendilik"/>
              <w:numPr>
                <w:ilvl w:val="0"/>
                <w:numId w:val="2"/>
              </w:numPr>
              <w:rPr>
                <w:rFonts w:cs="Arial"/>
                <w:noProof/>
                <w:sz w:val="22"/>
                <w:lang w:val="et-EE"/>
              </w:rPr>
            </w:pPr>
            <w:r w:rsidRPr="007A5275">
              <w:rPr>
                <w:rFonts w:cs="Arial"/>
                <w:noProof/>
                <w:sz w:val="22"/>
                <w:lang w:val="et-EE"/>
              </w:rPr>
              <w:t xml:space="preserve">Valdkond 2. Avaliku ruumi kujundamine.  90% </w:t>
            </w:r>
          </w:p>
          <w:p w14:paraId="26F835B2" w14:textId="77777777" w:rsidR="00A47B15" w:rsidRPr="007A5275" w:rsidRDefault="00A47B15" w:rsidP="00A47B15">
            <w:pPr>
              <w:pStyle w:val="Loendilik"/>
              <w:numPr>
                <w:ilvl w:val="0"/>
                <w:numId w:val="2"/>
              </w:numPr>
              <w:rPr>
                <w:rFonts w:cs="Arial"/>
                <w:noProof/>
                <w:sz w:val="22"/>
                <w:lang w:val="et-EE"/>
              </w:rPr>
            </w:pPr>
            <w:r w:rsidRPr="007A5275">
              <w:rPr>
                <w:rFonts w:cs="Arial"/>
                <w:noProof/>
                <w:sz w:val="22"/>
                <w:lang w:val="et-EE"/>
              </w:rPr>
              <w:t>Valdkond 3. Turvalisuse tõstmine  60%</w:t>
            </w:r>
          </w:p>
        </w:tc>
      </w:tr>
      <w:tr w:rsidR="000951C3" w:rsidRPr="007A5275" w14:paraId="681E2748" w14:textId="77777777" w:rsidTr="000951C3">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348B8947" w14:textId="77777777" w:rsidR="000951C3" w:rsidRPr="007A5275" w:rsidRDefault="000951C3" w:rsidP="000951C3">
            <w:pPr>
              <w:spacing w:after="0" w:line="240" w:lineRule="auto"/>
              <w:rPr>
                <w:rFonts w:eastAsia="Times New Roman" w:cs="Times New Roman"/>
                <w:lang w:eastAsia="et-EE"/>
              </w:rPr>
            </w:pPr>
            <w:r w:rsidRPr="007A5275">
              <w:rPr>
                <w:rFonts w:eastAsia="Times New Roman" w:cs="Times New Roman"/>
                <w:lang w:eastAsia="et-EE"/>
              </w:rPr>
              <w:t xml:space="preserve">7. Viide sihtvaldkonnale </w:t>
            </w:r>
          </w:p>
        </w:tc>
      </w:tr>
      <w:tr w:rsidR="000951C3" w:rsidRPr="007A5275" w14:paraId="528ABEC1" w14:textId="77777777" w:rsidTr="00A132A5">
        <w:trPr>
          <w:trHeight w:val="664"/>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67D5E1BA" w14:textId="77777777" w:rsidR="00A47B15" w:rsidRPr="007A5275" w:rsidRDefault="00A47B15" w:rsidP="00A47B15">
            <w:pPr>
              <w:rPr>
                <w:rFonts w:cs="Times New Roman"/>
                <w:noProof/>
              </w:rPr>
            </w:pPr>
            <w:r w:rsidRPr="007A5275">
              <w:rPr>
                <w:rFonts w:cs="Times New Roman"/>
                <w:noProof/>
              </w:rPr>
              <w:t xml:space="preserve">Meede nr 1 panustab sihtvaldkonda 6B: maapiirkondade kohaliku arengu soodustamine. </w:t>
            </w:r>
          </w:p>
          <w:p w14:paraId="13417DFB" w14:textId="77777777" w:rsidR="000E69B6" w:rsidRPr="007A5275" w:rsidRDefault="000E69B6" w:rsidP="00A132A5">
            <w:pPr>
              <w:rPr>
                <w:rFonts w:eastAsia="Times New Roman" w:cs="Times New Roman"/>
                <w:color w:val="000000"/>
                <w:lang w:eastAsia="et-EE"/>
              </w:rPr>
            </w:pPr>
          </w:p>
        </w:tc>
      </w:tr>
      <w:tr w:rsidR="000951C3" w:rsidRPr="007A5275" w14:paraId="2C9D3822" w14:textId="77777777" w:rsidTr="000951C3">
        <w:trPr>
          <w:trHeight w:val="705"/>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2FC4D146" w14:textId="77777777" w:rsidR="000951C3" w:rsidRPr="007A5275" w:rsidRDefault="000951C3" w:rsidP="000951C3">
            <w:pPr>
              <w:spacing w:after="0" w:line="240" w:lineRule="auto"/>
              <w:rPr>
                <w:rFonts w:eastAsia="Times New Roman" w:cs="Times New Roman"/>
                <w:color w:val="000000"/>
                <w:lang w:eastAsia="et-EE"/>
              </w:rPr>
            </w:pPr>
            <w:r w:rsidRPr="007A5275">
              <w:rPr>
                <w:rFonts w:eastAsia="Times New Roman" w:cs="Times New Roman"/>
                <w:color w:val="000000"/>
                <w:lang w:eastAsia="et-EE"/>
              </w:rPr>
              <w:t>8. Euroopa Parlamendi ja nõukogu määruse (EL) nr 1305/2013 artiklis 5 nimetatud prioriteedid, mille eesmärkide saavutamisele strateegia meetme rakendamine enim kaasa aitab</w:t>
            </w:r>
            <w:r w:rsidRPr="007A5275">
              <w:rPr>
                <w:rFonts w:eastAsia="Times New Roman" w:cs="Times New Roman"/>
                <w:color w:val="000000"/>
                <w:vertAlign w:val="superscript"/>
                <w:lang w:eastAsia="et-EE"/>
              </w:rPr>
              <w:t>3</w:t>
            </w:r>
          </w:p>
        </w:tc>
      </w:tr>
      <w:tr w:rsidR="000951C3" w:rsidRPr="007A5275" w14:paraId="7D29B819" w14:textId="77777777" w:rsidTr="00A132A5">
        <w:trPr>
          <w:trHeight w:val="854"/>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267F31B1" w14:textId="77777777" w:rsidR="00A47B15" w:rsidRPr="007A5275" w:rsidRDefault="00A47B15" w:rsidP="00A47B15">
            <w:pPr>
              <w:spacing w:after="0" w:line="240" w:lineRule="auto"/>
              <w:rPr>
                <w:rFonts w:cs="Times New Roman"/>
                <w:noProof/>
              </w:rPr>
            </w:pPr>
            <w:r w:rsidRPr="007A5275">
              <w:rPr>
                <w:rFonts w:cs="Times New Roman"/>
                <w:noProof/>
              </w:rPr>
              <w:t>NVK meede nr 1 vastab Maaelu Arengu Euroopa Põllumajandusfondi (EAFRD) prioriteedile nr 6: sotsiaalse kaasamise, vaesuse vähendamise ja maapiirkondade majandusliku arengu edendamine</w:t>
            </w:r>
          </w:p>
          <w:p w14:paraId="78A215C2" w14:textId="77777777" w:rsidR="000951C3" w:rsidRPr="007A5275" w:rsidRDefault="00FD3B28" w:rsidP="000951C3">
            <w:pPr>
              <w:spacing w:after="0" w:line="240" w:lineRule="auto"/>
              <w:rPr>
                <w:rFonts w:eastAsia="Times New Roman" w:cs="Times New Roman"/>
                <w:color w:val="000000"/>
                <w:lang w:eastAsia="et-EE"/>
              </w:rPr>
            </w:pPr>
            <w:r w:rsidRPr="007A5275">
              <w:rPr>
                <w:rFonts w:cs="Arial"/>
                <w:noProof/>
              </w:rPr>
              <w:t xml:space="preserve">Abikõlbulikud tegevused vastavalt </w:t>
            </w:r>
            <w:r w:rsidRPr="007A5275">
              <w:rPr>
                <w:rFonts w:cs="Times New Roman"/>
                <w:noProof/>
              </w:rPr>
              <w:t>Euroopa Parlamendi ja Nõukogu määruse nr 1305/2013 artiklile nr 20</w:t>
            </w:r>
          </w:p>
        </w:tc>
      </w:tr>
      <w:tr w:rsidR="000951C3" w:rsidRPr="007A5275" w14:paraId="444C3DDB" w14:textId="77777777" w:rsidTr="000951C3">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44888467" w14:textId="77777777" w:rsidR="000951C3" w:rsidRPr="007A5275" w:rsidRDefault="000951C3" w:rsidP="000951C3">
            <w:pPr>
              <w:spacing w:after="0" w:line="240" w:lineRule="auto"/>
              <w:rPr>
                <w:rFonts w:eastAsia="Times New Roman" w:cs="Times New Roman"/>
                <w:color w:val="000000"/>
                <w:lang w:eastAsia="et-EE"/>
              </w:rPr>
            </w:pPr>
            <w:r w:rsidRPr="007A5275">
              <w:rPr>
                <w:rFonts w:eastAsia="Times New Roman" w:cs="Times New Roman"/>
                <w:color w:val="000000"/>
                <w:lang w:eastAsia="et-EE"/>
              </w:rPr>
              <w:lastRenderedPageBreak/>
              <w:t>9. Viide arengukava meetmele, kui strateegia meede sellega kattub</w:t>
            </w:r>
          </w:p>
        </w:tc>
      </w:tr>
      <w:tr w:rsidR="000951C3" w:rsidRPr="007A5275" w14:paraId="2F5BAED2" w14:textId="77777777" w:rsidTr="00A132A5">
        <w:trPr>
          <w:trHeight w:val="814"/>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3BEDDD9D" w14:textId="77777777" w:rsidR="000951C3" w:rsidRPr="007A5275" w:rsidRDefault="000951C3" w:rsidP="000951C3">
            <w:pPr>
              <w:spacing w:after="0" w:line="240" w:lineRule="auto"/>
              <w:rPr>
                <w:rFonts w:eastAsia="Times New Roman" w:cs="Times New Roman"/>
                <w:color w:val="000000"/>
                <w:lang w:eastAsia="et-EE"/>
              </w:rPr>
            </w:pPr>
            <w:r w:rsidRPr="007A5275">
              <w:rPr>
                <w:rFonts w:eastAsia="Times New Roman" w:cs="Times New Roman"/>
                <w:color w:val="000000"/>
                <w:lang w:eastAsia="et-EE"/>
              </w:rPr>
              <w:t> </w:t>
            </w:r>
          </w:p>
        </w:tc>
      </w:tr>
      <w:tr w:rsidR="000951C3" w:rsidRPr="007A5275" w14:paraId="3D7E9A88" w14:textId="77777777" w:rsidTr="000951C3">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6B4E7F82" w14:textId="77777777" w:rsidR="000951C3" w:rsidRPr="007A5275" w:rsidRDefault="000951C3" w:rsidP="000951C3">
            <w:pPr>
              <w:spacing w:after="0" w:line="240" w:lineRule="auto"/>
              <w:rPr>
                <w:rFonts w:eastAsia="Times New Roman" w:cs="Times New Roman"/>
                <w:color w:val="000000"/>
                <w:lang w:eastAsia="et-EE"/>
              </w:rPr>
            </w:pPr>
            <w:r w:rsidRPr="007A5275">
              <w:rPr>
                <w:rFonts w:eastAsia="Times New Roman" w:cs="Times New Roman"/>
                <w:color w:val="000000"/>
                <w:lang w:eastAsia="et-EE"/>
              </w:rPr>
              <w:t>10. Strateegia meetme indikaatorid ja sihttasemed</w:t>
            </w:r>
          </w:p>
        </w:tc>
      </w:tr>
      <w:tr w:rsidR="000951C3" w:rsidRPr="007A5275" w14:paraId="51F45D76" w14:textId="77777777" w:rsidTr="000951C3">
        <w:trPr>
          <w:trHeight w:val="142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3CFB3A6F" w14:textId="77777777" w:rsidR="000E69B6" w:rsidRPr="007A5275" w:rsidRDefault="000951C3" w:rsidP="000E69B6">
            <w:pPr>
              <w:rPr>
                <w:rFonts w:cs="Arial"/>
                <w:b/>
                <w:noProof/>
              </w:rPr>
            </w:pPr>
            <w:r w:rsidRPr="007A5275">
              <w:rPr>
                <w:rFonts w:eastAsia="Times New Roman" w:cs="Times New Roman"/>
                <w:color w:val="000000"/>
                <w:lang w:eastAsia="et-EE"/>
              </w:rPr>
              <w:t> </w:t>
            </w:r>
            <w:r w:rsidR="000E69B6" w:rsidRPr="007A5275">
              <w:rPr>
                <w:rFonts w:cs="Arial"/>
                <w:noProof/>
              </w:rPr>
              <w:t xml:space="preserve"> </w:t>
            </w:r>
            <w:r w:rsidR="000E69B6" w:rsidRPr="007A5275">
              <w:rPr>
                <w:rFonts w:cs="Arial"/>
                <w:b/>
                <w:noProof/>
              </w:rPr>
              <w:t>Väljundmõõdikud ja soovitud sihttasemed:</w:t>
            </w:r>
          </w:p>
          <w:p w14:paraId="0CFD84CD" w14:textId="77777777" w:rsidR="000E69B6" w:rsidRPr="007A5275" w:rsidRDefault="000E69B6" w:rsidP="000E69B6">
            <w:pPr>
              <w:pStyle w:val="Loendilik"/>
              <w:numPr>
                <w:ilvl w:val="0"/>
                <w:numId w:val="9"/>
              </w:numPr>
              <w:rPr>
                <w:rFonts w:cs="Arial"/>
                <w:noProof/>
                <w:sz w:val="22"/>
                <w:lang w:val="et-EE"/>
              </w:rPr>
            </w:pPr>
            <w:r w:rsidRPr="007A5275">
              <w:rPr>
                <w:rFonts w:cs="Arial"/>
                <w:noProof/>
                <w:sz w:val="22"/>
                <w:lang w:val="et-EE"/>
              </w:rPr>
              <w:t>uute vaba aja veetmise võimaluste arv – 17;</w:t>
            </w:r>
          </w:p>
          <w:p w14:paraId="74DC6318" w14:textId="77777777" w:rsidR="000E69B6" w:rsidRPr="007A5275" w:rsidRDefault="000E69B6" w:rsidP="000E69B6">
            <w:pPr>
              <w:pStyle w:val="Loendilik"/>
              <w:numPr>
                <w:ilvl w:val="0"/>
                <w:numId w:val="9"/>
              </w:numPr>
              <w:rPr>
                <w:rFonts w:cs="Arial"/>
                <w:noProof/>
                <w:sz w:val="22"/>
                <w:lang w:val="et-EE"/>
              </w:rPr>
            </w:pPr>
            <w:r w:rsidRPr="007A5275">
              <w:rPr>
                <w:rFonts w:cs="Arial"/>
                <w:noProof/>
                <w:sz w:val="22"/>
                <w:lang w:val="et-EE"/>
              </w:rPr>
              <w:t>uute avalikku ruumi kujundavate projektide arv – 5;</w:t>
            </w:r>
          </w:p>
          <w:p w14:paraId="45D27984" w14:textId="77777777" w:rsidR="000E69B6" w:rsidRPr="007A5275" w:rsidRDefault="000E69B6" w:rsidP="000E69B6">
            <w:pPr>
              <w:pStyle w:val="Loendilik"/>
              <w:numPr>
                <w:ilvl w:val="0"/>
                <w:numId w:val="9"/>
              </w:numPr>
              <w:rPr>
                <w:rFonts w:cs="Arial"/>
                <w:noProof/>
                <w:sz w:val="22"/>
                <w:lang w:val="et-EE"/>
              </w:rPr>
            </w:pPr>
            <w:r w:rsidRPr="007A5275">
              <w:rPr>
                <w:rFonts w:cs="Arial"/>
                <w:noProof/>
                <w:sz w:val="22"/>
                <w:lang w:val="et-EE"/>
              </w:rPr>
              <w:t>uute turvalisust tõstvate projektide arv – 3;</w:t>
            </w:r>
          </w:p>
          <w:p w14:paraId="368CA913" w14:textId="77777777" w:rsidR="000E69B6" w:rsidRPr="007A5275" w:rsidRDefault="000E69B6" w:rsidP="000E69B6">
            <w:pPr>
              <w:pStyle w:val="Loendilik"/>
              <w:numPr>
                <w:ilvl w:val="0"/>
                <w:numId w:val="9"/>
              </w:numPr>
              <w:rPr>
                <w:rFonts w:cs="Arial"/>
                <w:noProof/>
                <w:sz w:val="22"/>
                <w:lang w:val="et-EE"/>
              </w:rPr>
            </w:pPr>
            <w:r w:rsidRPr="007A5275">
              <w:rPr>
                <w:rFonts w:cs="Arial"/>
                <w:noProof/>
                <w:sz w:val="22"/>
                <w:lang w:val="et-EE"/>
              </w:rPr>
              <w:t>toetatud projektide arv strateegia perioodi jooksul – 25.</w:t>
            </w:r>
          </w:p>
          <w:p w14:paraId="4D3F1BDD" w14:textId="77777777" w:rsidR="000E69B6" w:rsidRPr="007A5275" w:rsidRDefault="000E69B6" w:rsidP="000E69B6">
            <w:pPr>
              <w:rPr>
                <w:rFonts w:cs="Arial"/>
                <w:b/>
                <w:noProof/>
              </w:rPr>
            </w:pPr>
          </w:p>
          <w:p w14:paraId="091CBE96" w14:textId="77777777" w:rsidR="000E69B6" w:rsidRPr="007A5275" w:rsidRDefault="000E69B6" w:rsidP="000E69B6">
            <w:pPr>
              <w:rPr>
                <w:rFonts w:cs="Arial"/>
                <w:b/>
                <w:noProof/>
              </w:rPr>
            </w:pPr>
            <w:r w:rsidRPr="007A5275">
              <w:rPr>
                <w:rFonts w:cs="Arial"/>
                <w:b/>
                <w:noProof/>
              </w:rPr>
              <w:t>Tulemusmõõdik ja soovitud sihttase:</w:t>
            </w:r>
          </w:p>
          <w:p w14:paraId="2EC8370B" w14:textId="77777777" w:rsidR="000951C3" w:rsidRPr="007A5275" w:rsidRDefault="000E69B6" w:rsidP="000E69B6">
            <w:pPr>
              <w:pStyle w:val="Loendilik"/>
              <w:numPr>
                <w:ilvl w:val="0"/>
                <w:numId w:val="10"/>
              </w:numPr>
              <w:rPr>
                <w:rFonts w:eastAsia="Times New Roman" w:cs="Times New Roman"/>
                <w:color w:val="000000"/>
                <w:lang w:val="et-EE" w:eastAsia="et-EE"/>
              </w:rPr>
            </w:pPr>
            <w:r w:rsidRPr="007A5275">
              <w:rPr>
                <w:rFonts w:cs="Arial"/>
                <w:noProof/>
                <w:lang w:val="et-EE"/>
              </w:rPr>
              <w:t>minimaalne kohalike kasusaajate arv ühe projekti kohta – 400.</w:t>
            </w:r>
          </w:p>
        </w:tc>
      </w:tr>
      <w:tr w:rsidR="000951C3" w:rsidRPr="007A5275" w14:paraId="2550D7C2" w14:textId="77777777" w:rsidTr="000951C3">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26B2681D" w14:textId="77777777" w:rsidR="000951C3" w:rsidRPr="007A5275" w:rsidRDefault="000951C3" w:rsidP="000951C3">
            <w:pPr>
              <w:spacing w:after="0" w:line="240" w:lineRule="auto"/>
              <w:rPr>
                <w:rFonts w:eastAsia="Times New Roman" w:cs="Times New Roman"/>
                <w:color w:val="000000"/>
                <w:lang w:eastAsia="et-EE"/>
              </w:rPr>
            </w:pPr>
            <w:r w:rsidRPr="007A5275">
              <w:rPr>
                <w:rFonts w:eastAsia="Times New Roman" w:cs="Times New Roman"/>
                <w:color w:val="000000"/>
                <w:lang w:eastAsia="et-EE"/>
              </w:rPr>
              <w:t xml:space="preserve">11.Projektitoetuse taotluste hindamiskriteeriumid </w:t>
            </w:r>
          </w:p>
        </w:tc>
      </w:tr>
      <w:tr w:rsidR="000951C3" w:rsidRPr="007A5275" w14:paraId="25C58988" w14:textId="77777777" w:rsidTr="000951C3">
        <w:trPr>
          <w:trHeight w:val="141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2972024C" w14:textId="77777777" w:rsidR="000E69B6" w:rsidRPr="007A5275" w:rsidRDefault="000951C3" w:rsidP="000E69B6">
            <w:pPr>
              <w:rPr>
                <w:rFonts w:cs="Arial"/>
                <w:b/>
                <w:noProof/>
              </w:rPr>
            </w:pPr>
            <w:r w:rsidRPr="007A5275">
              <w:rPr>
                <w:rFonts w:eastAsia="Times New Roman" w:cs="Times New Roman"/>
                <w:color w:val="000000"/>
                <w:lang w:eastAsia="et-EE"/>
              </w:rPr>
              <w:t> </w:t>
            </w:r>
            <w:r w:rsidR="000E69B6" w:rsidRPr="007A5275">
              <w:rPr>
                <w:rFonts w:cs="Arial"/>
                <w:noProof/>
              </w:rPr>
              <w:t xml:space="preserve"> </w:t>
            </w:r>
            <w:r w:rsidR="000E69B6" w:rsidRPr="007A5275">
              <w:rPr>
                <w:rFonts w:cs="Arial"/>
                <w:b/>
                <w:noProof/>
              </w:rPr>
              <w:t>Taotluste hindamise aluseks on kriteeriumid, mis jagunevad kaheks plokiks:</w:t>
            </w:r>
          </w:p>
          <w:p w14:paraId="15CEE8C4" w14:textId="77777777" w:rsidR="000E69B6" w:rsidRPr="007A5275" w:rsidRDefault="000E69B6" w:rsidP="000E69B6">
            <w:pPr>
              <w:pStyle w:val="Loendilik"/>
              <w:numPr>
                <w:ilvl w:val="0"/>
                <w:numId w:val="11"/>
              </w:numPr>
              <w:jc w:val="both"/>
              <w:rPr>
                <w:rFonts w:cs="Arial"/>
                <w:noProof/>
                <w:sz w:val="22"/>
                <w:szCs w:val="22"/>
                <w:lang w:val="et-EE"/>
              </w:rPr>
            </w:pPr>
            <w:r w:rsidRPr="007A5275">
              <w:rPr>
                <w:rFonts w:cs="Arial"/>
                <w:noProof/>
                <w:sz w:val="22"/>
                <w:szCs w:val="22"/>
                <w:lang w:val="et-EE"/>
              </w:rPr>
              <w:t xml:space="preserve">Projekti </w:t>
            </w:r>
            <w:r w:rsidRPr="007A5275">
              <w:rPr>
                <w:rFonts w:cs="Arial"/>
                <w:b/>
                <w:noProof/>
                <w:sz w:val="22"/>
                <w:szCs w:val="22"/>
                <w:lang w:val="et-EE"/>
              </w:rPr>
              <w:t>mõjuga</w:t>
            </w:r>
            <w:r w:rsidRPr="007A5275">
              <w:rPr>
                <w:rFonts w:cs="Arial"/>
                <w:noProof/>
                <w:sz w:val="22"/>
                <w:szCs w:val="22"/>
                <w:lang w:val="et-EE"/>
              </w:rPr>
              <w:t xml:space="preserve"> seotud kriteeriumid (osakaal 75% mõlemast plokist):</w:t>
            </w:r>
          </w:p>
          <w:p w14:paraId="3DC461CC" w14:textId="77777777" w:rsidR="000E69B6" w:rsidRPr="007A5275" w:rsidRDefault="000E69B6" w:rsidP="000E69B6">
            <w:pPr>
              <w:pStyle w:val="Loendilik"/>
              <w:numPr>
                <w:ilvl w:val="1"/>
                <w:numId w:val="11"/>
              </w:numPr>
              <w:jc w:val="both"/>
              <w:rPr>
                <w:rFonts w:cs="Arial"/>
                <w:noProof/>
                <w:sz w:val="22"/>
                <w:szCs w:val="22"/>
                <w:lang w:val="et-EE"/>
              </w:rPr>
            </w:pPr>
            <w:r w:rsidRPr="007A5275">
              <w:rPr>
                <w:rFonts w:cs="Arial"/>
                <w:noProof/>
                <w:sz w:val="22"/>
                <w:szCs w:val="22"/>
                <w:lang w:val="et-EE"/>
              </w:rPr>
              <w:t>Projekti põhjendatus ja seos Nelja Valla Kogu strateegiaga (20%);</w:t>
            </w:r>
          </w:p>
          <w:p w14:paraId="31E8AA99" w14:textId="77777777" w:rsidR="000E69B6" w:rsidRPr="007A5275" w:rsidRDefault="000E69B6" w:rsidP="000E69B6">
            <w:pPr>
              <w:pStyle w:val="Loendilik"/>
              <w:numPr>
                <w:ilvl w:val="1"/>
                <w:numId w:val="11"/>
              </w:numPr>
              <w:jc w:val="both"/>
              <w:rPr>
                <w:rFonts w:cs="Arial"/>
                <w:noProof/>
                <w:sz w:val="22"/>
                <w:szCs w:val="22"/>
                <w:lang w:val="et-EE"/>
              </w:rPr>
            </w:pPr>
            <w:r w:rsidRPr="007A5275">
              <w:rPr>
                <w:rFonts w:cs="Arial"/>
                <w:noProof/>
                <w:sz w:val="22"/>
                <w:szCs w:val="22"/>
                <w:lang w:val="et-EE"/>
              </w:rPr>
              <w:t>Projekti seos kohaliku omavalitsuse, kandi või küla arengukavaga (10%);</w:t>
            </w:r>
          </w:p>
          <w:p w14:paraId="45E5811B" w14:textId="77777777" w:rsidR="000E69B6" w:rsidRPr="007A5275" w:rsidRDefault="000E69B6" w:rsidP="000E69B6">
            <w:pPr>
              <w:pStyle w:val="Loendilik"/>
              <w:numPr>
                <w:ilvl w:val="1"/>
                <w:numId w:val="11"/>
              </w:numPr>
              <w:jc w:val="both"/>
              <w:rPr>
                <w:rFonts w:cs="Arial"/>
                <w:noProof/>
                <w:sz w:val="22"/>
                <w:szCs w:val="22"/>
                <w:lang w:val="et-EE"/>
              </w:rPr>
            </w:pPr>
            <w:r w:rsidRPr="007A5275">
              <w:rPr>
                <w:rFonts w:cs="Arial"/>
                <w:noProof/>
                <w:sz w:val="22"/>
                <w:szCs w:val="22"/>
                <w:lang w:val="et-EE"/>
              </w:rPr>
              <w:t>Projekti panus meetme indikaatorite sihttasemete täitmisesse (10%);</w:t>
            </w:r>
          </w:p>
          <w:p w14:paraId="1096B444" w14:textId="77777777" w:rsidR="000E69B6" w:rsidRPr="007A5275" w:rsidRDefault="000E69B6" w:rsidP="000E69B6">
            <w:pPr>
              <w:pStyle w:val="Loendilik"/>
              <w:numPr>
                <w:ilvl w:val="1"/>
                <w:numId w:val="11"/>
              </w:numPr>
              <w:jc w:val="both"/>
              <w:rPr>
                <w:rFonts w:cs="Arial"/>
                <w:noProof/>
                <w:sz w:val="22"/>
                <w:szCs w:val="22"/>
                <w:lang w:val="et-EE"/>
              </w:rPr>
            </w:pPr>
            <w:r w:rsidRPr="007A5275">
              <w:rPr>
                <w:rFonts w:cs="Arial"/>
                <w:noProof/>
                <w:sz w:val="22"/>
                <w:szCs w:val="22"/>
                <w:lang w:val="et-EE"/>
              </w:rPr>
              <w:t>Projekti jätkusuutlikkus</w:t>
            </w:r>
            <w:r w:rsidR="00A132A5" w:rsidRPr="007A5275">
              <w:rPr>
                <w:rFonts w:cs="Arial"/>
                <w:noProof/>
                <w:sz w:val="22"/>
                <w:szCs w:val="22"/>
                <w:lang w:val="et-EE"/>
              </w:rPr>
              <w:t xml:space="preserve"> </w:t>
            </w:r>
            <w:r w:rsidRPr="007A5275">
              <w:rPr>
                <w:rFonts w:cs="Arial"/>
                <w:noProof/>
                <w:sz w:val="22"/>
                <w:szCs w:val="22"/>
                <w:lang w:val="et-EE"/>
              </w:rPr>
              <w:t>(15%);</w:t>
            </w:r>
          </w:p>
          <w:p w14:paraId="008E44D0" w14:textId="77777777" w:rsidR="000E69B6" w:rsidRPr="007A5275" w:rsidRDefault="000E69B6" w:rsidP="000E69B6">
            <w:pPr>
              <w:pStyle w:val="Loendilik"/>
              <w:numPr>
                <w:ilvl w:val="1"/>
                <w:numId w:val="11"/>
              </w:numPr>
              <w:jc w:val="both"/>
              <w:rPr>
                <w:rFonts w:cs="Arial"/>
                <w:noProof/>
                <w:sz w:val="22"/>
                <w:szCs w:val="22"/>
                <w:lang w:val="et-EE"/>
              </w:rPr>
            </w:pPr>
            <w:r w:rsidRPr="007A5275">
              <w:rPr>
                <w:rFonts w:cs="Arial"/>
                <w:noProof/>
                <w:sz w:val="22"/>
                <w:szCs w:val="22"/>
                <w:lang w:val="et-EE"/>
              </w:rPr>
              <w:t>Koostöö (10%);</w:t>
            </w:r>
          </w:p>
          <w:p w14:paraId="6CF28433" w14:textId="77777777" w:rsidR="000E69B6" w:rsidRPr="007A5275" w:rsidRDefault="000E69B6" w:rsidP="000E69B6">
            <w:pPr>
              <w:pStyle w:val="Loendilik"/>
              <w:numPr>
                <w:ilvl w:val="1"/>
                <w:numId w:val="11"/>
              </w:numPr>
              <w:jc w:val="both"/>
              <w:rPr>
                <w:rFonts w:cs="Arial"/>
                <w:noProof/>
                <w:sz w:val="22"/>
                <w:szCs w:val="22"/>
                <w:lang w:val="et-EE"/>
              </w:rPr>
            </w:pPr>
            <w:r w:rsidRPr="007A5275">
              <w:rPr>
                <w:rFonts w:cs="Arial"/>
                <w:noProof/>
                <w:sz w:val="22"/>
                <w:szCs w:val="22"/>
                <w:lang w:val="et-EE"/>
              </w:rPr>
              <w:t>Uuenduslikkus (10%).</w:t>
            </w:r>
          </w:p>
          <w:p w14:paraId="2EC691EA" w14:textId="77777777" w:rsidR="000E69B6" w:rsidRPr="007A5275" w:rsidRDefault="000E69B6" w:rsidP="000E69B6">
            <w:pPr>
              <w:rPr>
                <w:rFonts w:cs="Arial"/>
                <w:noProof/>
              </w:rPr>
            </w:pPr>
          </w:p>
          <w:p w14:paraId="12D886EB" w14:textId="77777777" w:rsidR="000E69B6" w:rsidRPr="007A5275" w:rsidRDefault="000E69B6" w:rsidP="000E69B6">
            <w:pPr>
              <w:pStyle w:val="Loendilik"/>
              <w:numPr>
                <w:ilvl w:val="0"/>
                <w:numId w:val="11"/>
              </w:numPr>
              <w:jc w:val="both"/>
              <w:rPr>
                <w:rFonts w:cs="Arial"/>
                <w:noProof/>
                <w:sz w:val="22"/>
                <w:szCs w:val="22"/>
                <w:lang w:val="et-EE"/>
              </w:rPr>
            </w:pPr>
            <w:r w:rsidRPr="007A5275">
              <w:rPr>
                <w:rFonts w:cs="Arial"/>
                <w:noProof/>
                <w:sz w:val="22"/>
                <w:szCs w:val="22"/>
                <w:lang w:val="et-EE"/>
              </w:rPr>
              <w:t xml:space="preserve">Projekti </w:t>
            </w:r>
            <w:r w:rsidRPr="007A5275">
              <w:rPr>
                <w:rFonts w:cs="Arial"/>
                <w:b/>
                <w:noProof/>
                <w:sz w:val="22"/>
                <w:szCs w:val="22"/>
                <w:lang w:val="et-EE"/>
              </w:rPr>
              <w:t>kvaliteediga</w:t>
            </w:r>
            <w:r w:rsidRPr="007A5275">
              <w:rPr>
                <w:rFonts w:cs="Arial"/>
                <w:noProof/>
                <w:sz w:val="22"/>
                <w:szCs w:val="22"/>
                <w:lang w:val="et-EE"/>
              </w:rPr>
              <w:t xml:space="preserve"> seotud kriteeriumid (osakaal 25% mõlemast plokist):</w:t>
            </w:r>
          </w:p>
          <w:p w14:paraId="17BC8EBC" w14:textId="77777777" w:rsidR="000E69B6" w:rsidRPr="007A5275" w:rsidRDefault="000E69B6" w:rsidP="000E69B6">
            <w:pPr>
              <w:pStyle w:val="Loendilik"/>
              <w:numPr>
                <w:ilvl w:val="1"/>
                <w:numId w:val="11"/>
              </w:numPr>
              <w:jc w:val="both"/>
              <w:rPr>
                <w:rFonts w:cs="Arial"/>
                <w:noProof/>
                <w:sz w:val="22"/>
                <w:szCs w:val="22"/>
                <w:lang w:val="et-EE"/>
              </w:rPr>
            </w:pPr>
            <w:r w:rsidRPr="007A5275">
              <w:rPr>
                <w:rFonts w:cs="Arial"/>
                <w:noProof/>
                <w:sz w:val="22"/>
                <w:szCs w:val="22"/>
                <w:lang w:val="et-EE"/>
              </w:rPr>
              <w:t>Projekti üldine kvaliteet (10%);</w:t>
            </w:r>
          </w:p>
          <w:p w14:paraId="37BC7FF7" w14:textId="77777777" w:rsidR="000E69B6" w:rsidRPr="007A5275" w:rsidRDefault="000E69B6" w:rsidP="000E69B6">
            <w:pPr>
              <w:pStyle w:val="Loendilik"/>
              <w:numPr>
                <w:ilvl w:val="1"/>
                <w:numId w:val="11"/>
              </w:numPr>
              <w:jc w:val="both"/>
              <w:rPr>
                <w:rFonts w:cs="Arial"/>
                <w:noProof/>
                <w:sz w:val="22"/>
                <w:szCs w:val="22"/>
                <w:lang w:val="et-EE"/>
              </w:rPr>
            </w:pPr>
            <w:r w:rsidRPr="007A5275">
              <w:rPr>
                <w:rFonts w:cs="Arial"/>
                <w:noProof/>
                <w:sz w:val="22"/>
                <w:szCs w:val="22"/>
                <w:lang w:val="et-EE"/>
              </w:rPr>
              <w:t>Projekti kulude põhjendatus (10%);</w:t>
            </w:r>
          </w:p>
          <w:p w14:paraId="5585ED03" w14:textId="77777777" w:rsidR="000E69B6" w:rsidRPr="007A5275" w:rsidRDefault="000E69B6" w:rsidP="000E69B6">
            <w:pPr>
              <w:pStyle w:val="Loendilik"/>
              <w:numPr>
                <w:ilvl w:val="1"/>
                <w:numId w:val="11"/>
              </w:numPr>
              <w:jc w:val="both"/>
              <w:rPr>
                <w:rFonts w:cs="Arial"/>
                <w:noProof/>
                <w:sz w:val="22"/>
                <w:szCs w:val="22"/>
                <w:lang w:val="et-EE"/>
              </w:rPr>
            </w:pPr>
            <w:r w:rsidRPr="007A5275">
              <w:rPr>
                <w:rFonts w:cs="Arial"/>
                <w:noProof/>
                <w:sz w:val="22"/>
                <w:szCs w:val="22"/>
                <w:lang w:val="et-EE"/>
              </w:rPr>
              <w:t>Taotleja taust, sh varasem kogemus ja olemasolevad kompetentsid, võimekus projekti ellu viimiseks (5%).</w:t>
            </w:r>
          </w:p>
          <w:p w14:paraId="0DE27478" w14:textId="77777777" w:rsidR="000E69B6" w:rsidRPr="007A5275" w:rsidRDefault="000E69B6" w:rsidP="000E69B6">
            <w:pPr>
              <w:rPr>
                <w:rFonts w:cs="Arial"/>
                <w:noProof/>
              </w:rPr>
            </w:pPr>
          </w:p>
          <w:p w14:paraId="439AD40B" w14:textId="77777777" w:rsidR="000951C3" w:rsidRPr="007A5275" w:rsidRDefault="000E69B6" w:rsidP="00A132A5">
            <w:pPr>
              <w:rPr>
                <w:rFonts w:eastAsia="Times New Roman" w:cs="Times New Roman"/>
                <w:color w:val="000000"/>
                <w:lang w:eastAsia="et-EE"/>
              </w:rPr>
            </w:pPr>
            <w:r w:rsidRPr="007A5275">
              <w:rPr>
                <w:rFonts w:cs="Arial"/>
                <w:noProof/>
              </w:rPr>
              <w:lastRenderedPageBreak/>
              <w:t xml:space="preserve">Taotlusi hinnatakse 4-palli süsteemis, kus 4 tähistab väga head, 3 rahuldavat, 2 kesist ja 1 puudulikku. Hindamiskriteeriume on täpsemalt kirjeldatud </w:t>
            </w:r>
            <w:r w:rsidR="001D134F" w:rsidRPr="007A5275">
              <w:rPr>
                <w:rFonts w:cs="Arial"/>
                <w:noProof/>
              </w:rPr>
              <w:t>MTÜ Nelja Valla Kogu strateegias</w:t>
            </w:r>
            <w:r w:rsidR="00A132A5" w:rsidRPr="007A5275">
              <w:rPr>
                <w:rFonts w:cs="Arial"/>
                <w:noProof/>
              </w:rPr>
              <w:t xml:space="preserve"> 2015-2020</w:t>
            </w:r>
            <w:r w:rsidR="001D134F" w:rsidRPr="007A5275">
              <w:rPr>
                <w:rFonts w:cs="Arial"/>
                <w:noProof/>
              </w:rPr>
              <w:t xml:space="preserve"> tabel nr 7 ja </w:t>
            </w:r>
            <w:r w:rsidR="00A132A5" w:rsidRPr="007A5275">
              <w:rPr>
                <w:rFonts w:cs="Arial"/>
                <w:noProof/>
              </w:rPr>
              <w:t>dokumendis „</w:t>
            </w:r>
            <w:r w:rsidR="001D134F" w:rsidRPr="007A5275">
              <w:rPr>
                <w:rFonts w:cs="Arial"/>
                <w:noProof/>
              </w:rPr>
              <w:t xml:space="preserve">MTÜ Nelja Valla Kogu </w:t>
            </w:r>
            <w:r w:rsidR="00A132A5" w:rsidRPr="007A5275">
              <w:rPr>
                <w:rFonts w:cs="Arial"/>
                <w:noProof/>
              </w:rPr>
              <w:t xml:space="preserve">Leder Meetme raames antava </w:t>
            </w:r>
            <w:r w:rsidR="001D134F" w:rsidRPr="007A5275">
              <w:rPr>
                <w:rFonts w:cs="Arial"/>
                <w:noProof/>
              </w:rPr>
              <w:t>projektitaotluste</w:t>
            </w:r>
            <w:r w:rsidR="00A132A5" w:rsidRPr="007A5275">
              <w:rPr>
                <w:rFonts w:cs="Arial"/>
                <w:noProof/>
              </w:rPr>
              <w:t xml:space="preserve"> menetlemise ja hindamise kord“.</w:t>
            </w:r>
          </w:p>
        </w:tc>
      </w:tr>
      <w:tr w:rsidR="000951C3" w:rsidRPr="007A5275" w14:paraId="3B18EC14" w14:textId="77777777" w:rsidTr="000951C3">
        <w:trPr>
          <w:trHeight w:val="270"/>
        </w:trPr>
        <w:tc>
          <w:tcPr>
            <w:tcW w:w="2134" w:type="pct"/>
            <w:tcBorders>
              <w:top w:val="nil"/>
              <w:left w:val="nil"/>
              <w:bottom w:val="nil"/>
              <w:right w:val="nil"/>
            </w:tcBorders>
            <w:shd w:val="clear" w:color="auto" w:fill="auto"/>
            <w:noWrap/>
            <w:hideMark/>
          </w:tcPr>
          <w:p w14:paraId="2639F096" w14:textId="77777777" w:rsidR="000951C3" w:rsidRPr="007A5275" w:rsidRDefault="000951C3" w:rsidP="000951C3">
            <w:pPr>
              <w:spacing w:after="0" w:line="240" w:lineRule="auto"/>
              <w:rPr>
                <w:rFonts w:eastAsia="Times New Roman" w:cs="Times New Roman"/>
                <w:color w:val="000000"/>
                <w:lang w:eastAsia="et-EE"/>
              </w:rPr>
            </w:pPr>
          </w:p>
        </w:tc>
        <w:tc>
          <w:tcPr>
            <w:tcW w:w="2102" w:type="pct"/>
            <w:tcBorders>
              <w:top w:val="nil"/>
              <w:left w:val="nil"/>
              <w:bottom w:val="nil"/>
              <w:right w:val="nil"/>
            </w:tcBorders>
            <w:shd w:val="clear" w:color="auto" w:fill="auto"/>
            <w:noWrap/>
            <w:hideMark/>
          </w:tcPr>
          <w:p w14:paraId="17CF7D97" w14:textId="77777777" w:rsidR="000951C3" w:rsidRPr="007A5275" w:rsidRDefault="000951C3" w:rsidP="000951C3">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0E11CE32" w14:textId="77777777" w:rsidR="000951C3" w:rsidRPr="007A5275" w:rsidRDefault="000951C3" w:rsidP="000951C3">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5C1FFA73" w14:textId="77777777" w:rsidR="000951C3" w:rsidRPr="007A5275" w:rsidRDefault="000951C3" w:rsidP="000951C3">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51D80703" w14:textId="77777777" w:rsidR="000951C3" w:rsidRPr="007A5275" w:rsidRDefault="000951C3" w:rsidP="000951C3">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6791D3E1" w14:textId="77777777" w:rsidR="000951C3" w:rsidRPr="007A5275" w:rsidRDefault="000951C3" w:rsidP="000951C3">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607A5E1D" w14:textId="77777777" w:rsidR="000951C3" w:rsidRPr="007A5275" w:rsidRDefault="000951C3" w:rsidP="000951C3">
            <w:pPr>
              <w:spacing w:after="0" w:line="240" w:lineRule="auto"/>
              <w:rPr>
                <w:rFonts w:eastAsia="Times New Roman" w:cs="Times New Roman"/>
                <w:sz w:val="20"/>
                <w:szCs w:val="20"/>
                <w:lang w:eastAsia="et-EE"/>
              </w:rPr>
            </w:pPr>
          </w:p>
        </w:tc>
        <w:tc>
          <w:tcPr>
            <w:tcW w:w="110" w:type="pct"/>
            <w:tcBorders>
              <w:top w:val="nil"/>
              <w:left w:val="nil"/>
              <w:bottom w:val="nil"/>
              <w:right w:val="nil"/>
            </w:tcBorders>
            <w:shd w:val="clear" w:color="auto" w:fill="auto"/>
            <w:noWrap/>
            <w:hideMark/>
          </w:tcPr>
          <w:p w14:paraId="517976A5" w14:textId="77777777" w:rsidR="000951C3" w:rsidRPr="007A5275" w:rsidRDefault="000951C3" w:rsidP="000951C3">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3BC9784D" w14:textId="77777777" w:rsidR="000951C3" w:rsidRPr="007A5275" w:rsidRDefault="000951C3" w:rsidP="000951C3">
            <w:pPr>
              <w:spacing w:after="0" w:line="240" w:lineRule="auto"/>
              <w:rPr>
                <w:rFonts w:eastAsia="Times New Roman" w:cs="Times New Roman"/>
                <w:sz w:val="20"/>
                <w:szCs w:val="20"/>
                <w:lang w:eastAsia="et-EE"/>
              </w:rPr>
            </w:pPr>
          </w:p>
        </w:tc>
      </w:tr>
      <w:tr w:rsidR="000951C3" w:rsidRPr="007A5275" w14:paraId="60BD774B" w14:textId="77777777" w:rsidTr="000951C3">
        <w:trPr>
          <w:trHeight w:val="285"/>
        </w:trPr>
        <w:tc>
          <w:tcPr>
            <w:tcW w:w="2134" w:type="pct"/>
            <w:tcBorders>
              <w:top w:val="single" w:sz="4" w:space="0" w:color="auto"/>
              <w:left w:val="nil"/>
              <w:bottom w:val="nil"/>
              <w:right w:val="nil"/>
            </w:tcBorders>
            <w:shd w:val="clear" w:color="000000" w:fill="FFFFFF"/>
            <w:noWrap/>
            <w:hideMark/>
          </w:tcPr>
          <w:p w14:paraId="46258765" w14:textId="77777777" w:rsidR="000951C3" w:rsidRPr="007A5275" w:rsidRDefault="000951C3" w:rsidP="000951C3">
            <w:pPr>
              <w:spacing w:after="0" w:line="240" w:lineRule="auto"/>
              <w:rPr>
                <w:rFonts w:eastAsia="Times New Roman" w:cs="Times New Roman"/>
                <w:color w:val="000000"/>
                <w:sz w:val="18"/>
                <w:szCs w:val="18"/>
                <w:lang w:eastAsia="et-EE"/>
              </w:rPr>
            </w:pPr>
            <w:r w:rsidRPr="007A5275">
              <w:rPr>
                <w:rFonts w:eastAsia="Times New Roman" w:cs="Times New Roman"/>
                <w:color w:val="000000"/>
                <w:sz w:val="18"/>
                <w:szCs w:val="18"/>
                <w:lang w:eastAsia="et-EE"/>
              </w:rPr>
              <w:t>¹</w:t>
            </w:r>
          </w:p>
        </w:tc>
        <w:tc>
          <w:tcPr>
            <w:tcW w:w="2211" w:type="pct"/>
            <w:gridSpan w:val="2"/>
            <w:tcBorders>
              <w:top w:val="single" w:sz="4" w:space="0" w:color="auto"/>
              <w:left w:val="nil"/>
              <w:bottom w:val="nil"/>
              <w:right w:val="nil"/>
            </w:tcBorders>
            <w:shd w:val="clear" w:color="000000" w:fill="FFFFFF"/>
            <w:noWrap/>
            <w:vAlign w:val="center"/>
            <w:hideMark/>
          </w:tcPr>
          <w:p w14:paraId="28C7F626" w14:textId="77777777" w:rsidR="000951C3" w:rsidRPr="007A5275" w:rsidRDefault="000951C3" w:rsidP="000951C3">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Täidetakse iga strateegia meetme kohta eraldi</w:t>
            </w:r>
          </w:p>
        </w:tc>
        <w:tc>
          <w:tcPr>
            <w:tcW w:w="109" w:type="pct"/>
            <w:tcBorders>
              <w:top w:val="nil"/>
              <w:left w:val="nil"/>
              <w:bottom w:val="nil"/>
              <w:right w:val="nil"/>
            </w:tcBorders>
            <w:shd w:val="clear" w:color="000000" w:fill="FFFFFF"/>
            <w:noWrap/>
            <w:hideMark/>
          </w:tcPr>
          <w:p w14:paraId="1A3ADC16" w14:textId="77777777" w:rsidR="000951C3" w:rsidRPr="007A5275" w:rsidRDefault="000951C3" w:rsidP="000951C3">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c>
          <w:tcPr>
            <w:tcW w:w="109" w:type="pct"/>
            <w:tcBorders>
              <w:top w:val="nil"/>
              <w:left w:val="nil"/>
              <w:bottom w:val="nil"/>
              <w:right w:val="nil"/>
            </w:tcBorders>
            <w:shd w:val="clear" w:color="000000" w:fill="FFFFFF"/>
            <w:noWrap/>
            <w:hideMark/>
          </w:tcPr>
          <w:p w14:paraId="5F19E805" w14:textId="77777777" w:rsidR="000951C3" w:rsidRPr="007A5275" w:rsidRDefault="000951C3" w:rsidP="000951C3">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c>
          <w:tcPr>
            <w:tcW w:w="109" w:type="pct"/>
            <w:tcBorders>
              <w:top w:val="nil"/>
              <w:left w:val="nil"/>
              <w:bottom w:val="nil"/>
              <w:right w:val="nil"/>
            </w:tcBorders>
            <w:shd w:val="clear" w:color="000000" w:fill="FFFFFF"/>
            <w:noWrap/>
            <w:hideMark/>
          </w:tcPr>
          <w:p w14:paraId="7FE6F236" w14:textId="77777777" w:rsidR="000951C3" w:rsidRPr="007A5275" w:rsidRDefault="000951C3" w:rsidP="000951C3">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c>
          <w:tcPr>
            <w:tcW w:w="109" w:type="pct"/>
            <w:tcBorders>
              <w:top w:val="nil"/>
              <w:left w:val="nil"/>
              <w:bottom w:val="nil"/>
              <w:right w:val="nil"/>
            </w:tcBorders>
            <w:shd w:val="clear" w:color="000000" w:fill="FFFFFF"/>
            <w:noWrap/>
            <w:hideMark/>
          </w:tcPr>
          <w:p w14:paraId="59E6FF1F" w14:textId="77777777" w:rsidR="000951C3" w:rsidRPr="007A5275" w:rsidRDefault="000951C3" w:rsidP="000951C3">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c>
          <w:tcPr>
            <w:tcW w:w="110" w:type="pct"/>
            <w:tcBorders>
              <w:top w:val="nil"/>
              <w:left w:val="nil"/>
              <w:bottom w:val="nil"/>
              <w:right w:val="nil"/>
            </w:tcBorders>
            <w:shd w:val="clear" w:color="000000" w:fill="FFFFFF"/>
            <w:noWrap/>
            <w:hideMark/>
          </w:tcPr>
          <w:p w14:paraId="0DD62BB2" w14:textId="77777777" w:rsidR="000951C3" w:rsidRPr="007A5275" w:rsidRDefault="000951C3" w:rsidP="000951C3">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c>
          <w:tcPr>
            <w:tcW w:w="109" w:type="pct"/>
            <w:tcBorders>
              <w:top w:val="nil"/>
              <w:left w:val="nil"/>
              <w:bottom w:val="nil"/>
              <w:right w:val="nil"/>
            </w:tcBorders>
            <w:shd w:val="clear" w:color="000000" w:fill="FFFFFF"/>
            <w:noWrap/>
            <w:hideMark/>
          </w:tcPr>
          <w:p w14:paraId="6C570090" w14:textId="77777777" w:rsidR="000951C3" w:rsidRPr="007A5275" w:rsidRDefault="000951C3" w:rsidP="000951C3">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r>
      <w:tr w:rsidR="000951C3" w:rsidRPr="007A5275" w14:paraId="56B87CFD" w14:textId="77777777" w:rsidTr="000951C3">
        <w:trPr>
          <w:trHeight w:val="780"/>
        </w:trPr>
        <w:tc>
          <w:tcPr>
            <w:tcW w:w="2134" w:type="pct"/>
            <w:tcBorders>
              <w:top w:val="nil"/>
              <w:left w:val="nil"/>
              <w:bottom w:val="nil"/>
              <w:right w:val="nil"/>
            </w:tcBorders>
            <w:shd w:val="clear" w:color="000000" w:fill="FFFFFF"/>
            <w:noWrap/>
            <w:hideMark/>
          </w:tcPr>
          <w:p w14:paraId="5F965023" w14:textId="77777777" w:rsidR="000951C3" w:rsidRPr="007A5275" w:rsidRDefault="000951C3" w:rsidP="000951C3">
            <w:pPr>
              <w:spacing w:after="0" w:line="240" w:lineRule="auto"/>
              <w:rPr>
                <w:rFonts w:eastAsia="Times New Roman" w:cs="Times New Roman"/>
                <w:color w:val="000000"/>
                <w:sz w:val="18"/>
                <w:szCs w:val="18"/>
                <w:lang w:eastAsia="et-EE"/>
              </w:rPr>
            </w:pPr>
            <w:r w:rsidRPr="007A5275">
              <w:rPr>
                <w:rFonts w:eastAsia="Times New Roman" w:cs="Times New Roman"/>
                <w:color w:val="000000"/>
                <w:sz w:val="18"/>
                <w:szCs w:val="18"/>
                <w:lang w:eastAsia="et-EE"/>
              </w:rPr>
              <w:t>²</w:t>
            </w:r>
          </w:p>
        </w:tc>
        <w:tc>
          <w:tcPr>
            <w:tcW w:w="2866" w:type="pct"/>
            <w:gridSpan w:val="8"/>
            <w:tcBorders>
              <w:top w:val="nil"/>
              <w:left w:val="nil"/>
              <w:bottom w:val="nil"/>
              <w:right w:val="nil"/>
            </w:tcBorders>
            <w:shd w:val="clear" w:color="000000" w:fill="FFFFFF"/>
            <w:hideMark/>
          </w:tcPr>
          <w:p w14:paraId="248D2B07" w14:textId="77777777" w:rsidR="000951C3" w:rsidRPr="007A5275" w:rsidRDefault="000951C3" w:rsidP="000951C3">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xml:space="preserve">Märgitakse, kas strateegia meede võib sisaldada ka investeeringuid. Eraldi tuuakse välja investeeringud , mille puhul on lubatud taotleda projektitoetust mitmes etapis ja võtta investeering sihtotstarbelisse kasutusse § 42 lõike 7 punktis 1 sätestatust pikema tähtaja jooksul.  Märgitakse, kas strateegia meede võib sisaldada ka investeeringuid. </w:t>
            </w:r>
          </w:p>
        </w:tc>
      </w:tr>
      <w:tr w:rsidR="000951C3" w:rsidRPr="007A5275" w14:paraId="1E59EDB9" w14:textId="77777777" w:rsidTr="000951C3">
        <w:trPr>
          <w:trHeight w:val="330"/>
        </w:trPr>
        <w:tc>
          <w:tcPr>
            <w:tcW w:w="4563" w:type="pct"/>
            <w:gridSpan w:val="5"/>
            <w:tcBorders>
              <w:top w:val="nil"/>
              <w:left w:val="nil"/>
              <w:bottom w:val="nil"/>
              <w:right w:val="nil"/>
            </w:tcBorders>
            <w:shd w:val="clear" w:color="000000" w:fill="FFFFFF"/>
            <w:noWrap/>
            <w:hideMark/>
          </w:tcPr>
          <w:p w14:paraId="7E9FE0C1" w14:textId="77777777" w:rsidR="000951C3" w:rsidRPr="007A5275" w:rsidRDefault="000951C3" w:rsidP="000951C3">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vertAlign w:val="superscript"/>
                <w:lang w:eastAsia="et-EE"/>
              </w:rPr>
              <w:t xml:space="preserve">3      </w:t>
            </w:r>
            <w:r w:rsidRPr="007A5275">
              <w:rPr>
                <w:rFonts w:eastAsia="Times New Roman" w:cs="Times New Roman"/>
                <w:color w:val="000000"/>
                <w:sz w:val="16"/>
                <w:szCs w:val="16"/>
                <w:lang w:eastAsia="et-EE"/>
              </w:rPr>
              <w:t>Euroopa Parlamendi ja nõukogu määrus (EL) nr 1305/2013</w:t>
            </w:r>
          </w:p>
        </w:tc>
        <w:tc>
          <w:tcPr>
            <w:tcW w:w="109" w:type="pct"/>
            <w:tcBorders>
              <w:top w:val="nil"/>
              <w:left w:val="nil"/>
              <w:bottom w:val="nil"/>
              <w:right w:val="nil"/>
            </w:tcBorders>
            <w:shd w:val="clear" w:color="000000" w:fill="FFFFFF"/>
            <w:noWrap/>
            <w:hideMark/>
          </w:tcPr>
          <w:p w14:paraId="567E4D10" w14:textId="77777777" w:rsidR="000951C3" w:rsidRPr="007A5275" w:rsidRDefault="000951C3" w:rsidP="000951C3">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c>
          <w:tcPr>
            <w:tcW w:w="109" w:type="pct"/>
            <w:tcBorders>
              <w:top w:val="nil"/>
              <w:left w:val="nil"/>
              <w:bottom w:val="nil"/>
              <w:right w:val="nil"/>
            </w:tcBorders>
            <w:shd w:val="clear" w:color="000000" w:fill="FFFFFF"/>
            <w:noWrap/>
            <w:hideMark/>
          </w:tcPr>
          <w:p w14:paraId="465F4FE1" w14:textId="77777777" w:rsidR="000951C3" w:rsidRPr="007A5275" w:rsidRDefault="000951C3" w:rsidP="000951C3">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c>
          <w:tcPr>
            <w:tcW w:w="110" w:type="pct"/>
            <w:tcBorders>
              <w:top w:val="nil"/>
              <w:left w:val="nil"/>
              <w:bottom w:val="nil"/>
              <w:right w:val="nil"/>
            </w:tcBorders>
            <w:shd w:val="clear" w:color="000000" w:fill="FFFFFF"/>
            <w:noWrap/>
            <w:hideMark/>
          </w:tcPr>
          <w:p w14:paraId="5188483F" w14:textId="77777777" w:rsidR="000951C3" w:rsidRPr="007A5275" w:rsidRDefault="000951C3" w:rsidP="000951C3">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c>
          <w:tcPr>
            <w:tcW w:w="109" w:type="pct"/>
            <w:tcBorders>
              <w:top w:val="nil"/>
              <w:left w:val="nil"/>
              <w:bottom w:val="nil"/>
              <w:right w:val="nil"/>
            </w:tcBorders>
            <w:shd w:val="clear" w:color="000000" w:fill="FFFFFF"/>
            <w:noWrap/>
            <w:hideMark/>
          </w:tcPr>
          <w:p w14:paraId="74488D19" w14:textId="77777777" w:rsidR="000951C3" w:rsidRPr="007A5275" w:rsidRDefault="000951C3" w:rsidP="000951C3">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r>
      <w:tr w:rsidR="000951C3" w:rsidRPr="007A5275" w14:paraId="0055226B" w14:textId="77777777" w:rsidTr="000951C3">
        <w:trPr>
          <w:trHeight w:val="285"/>
        </w:trPr>
        <w:tc>
          <w:tcPr>
            <w:tcW w:w="2134" w:type="pct"/>
            <w:tcBorders>
              <w:top w:val="nil"/>
              <w:left w:val="nil"/>
              <w:bottom w:val="nil"/>
              <w:right w:val="nil"/>
            </w:tcBorders>
            <w:shd w:val="clear" w:color="000000" w:fill="FFFFFF"/>
            <w:noWrap/>
            <w:hideMark/>
          </w:tcPr>
          <w:p w14:paraId="7B018C93" w14:textId="77777777" w:rsidR="000951C3" w:rsidRPr="007A5275" w:rsidRDefault="000951C3" w:rsidP="000951C3">
            <w:pPr>
              <w:spacing w:after="0" w:line="240" w:lineRule="auto"/>
              <w:rPr>
                <w:rFonts w:eastAsia="Times New Roman" w:cs="Times New Roman"/>
                <w:color w:val="000000"/>
                <w:sz w:val="18"/>
                <w:szCs w:val="18"/>
                <w:lang w:eastAsia="et-EE"/>
              </w:rPr>
            </w:pPr>
            <w:r w:rsidRPr="007A5275">
              <w:rPr>
                <w:rFonts w:eastAsia="Times New Roman" w:cs="Times New Roman"/>
                <w:color w:val="000000"/>
                <w:sz w:val="18"/>
                <w:szCs w:val="18"/>
                <w:lang w:eastAsia="et-EE"/>
              </w:rPr>
              <w:t> </w:t>
            </w:r>
          </w:p>
        </w:tc>
        <w:tc>
          <w:tcPr>
            <w:tcW w:w="2757" w:type="pct"/>
            <w:gridSpan w:val="7"/>
            <w:tcBorders>
              <w:top w:val="nil"/>
              <w:left w:val="nil"/>
              <w:bottom w:val="nil"/>
              <w:right w:val="nil"/>
            </w:tcBorders>
            <w:shd w:val="clear" w:color="000000" w:fill="FFFFFF"/>
            <w:noWrap/>
            <w:hideMark/>
          </w:tcPr>
          <w:p w14:paraId="057AD05A" w14:textId="77777777" w:rsidR="000951C3" w:rsidRPr="007A5275" w:rsidRDefault="009F0D0B" w:rsidP="000951C3">
            <w:pPr>
              <w:spacing w:after="0" w:line="240" w:lineRule="auto"/>
              <w:rPr>
                <w:rFonts w:eastAsia="Times New Roman" w:cs="Times New Roman"/>
                <w:color w:val="0000FF"/>
                <w:sz w:val="16"/>
                <w:szCs w:val="16"/>
                <w:u w:val="single"/>
                <w:lang w:eastAsia="et-EE"/>
              </w:rPr>
            </w:pPr>
            <w:hyperlink r:id="rId9" w:history="1">
              <w:r w:rsidR="000951C3" w:rsidRPr="007A5275">
                <w:rPr>
                  <w:rFonts w:eastAsia="Times New Roman" w:cs="Times New Roman"/>
                  <w:color w:val="0000FF"/>
                  <w:sz w:val="16"/>
                  <w:szCs w:val="16"/>
                  <w:u w:val="single"/>
                  <w:lang w:eastAsia="et-EE"/>
                </w:rPr>
                <w:t>http://eur-lex.europa.eu/LexUriServ/LexUriServ.do?uri=OJ:L:2013:347:0487:0548:ET:PDF</w:t>
              </w:r>
            </w:hyperlink>
          </w:p>
        </w:tc>
        <w:tc>
          <w:tcPr>
            <w:tcW w:w="109" w:type="pct"/>
            <w:tcBorders>
              <w:top w:val="nil"/>
              <w:left w:val="nil"/>
              <w:bottom w:val="nil"/>
              <w:right w:val="nil"/>
            </w:tcBorders>
            <w:shd w:val="clear" w:color="000000" w:fill="FFFFFF"/>
            <w:noWrap/>
            <w:hideMark/>
          </w:tcPr>
          <w:p w14:paraId="5397C45E" w14:textId="77777777" w:rsidR="000951C3" w:rsidRPr="007A5275" w:rsidRDefault="000951C3" w:rsidP="000951C3">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r>
      <w:tr w:rsidR="000951C3" w:rsidRPr="007A5275" w14:paraId="1E815888" w14:textId="77777777" w:rsidTr="000951C3">
        <w:trPr>
          <w:trHeight w:val="285"/>
        </w:trPr>
        <w:tc>
          <w:tcPr>
            <w:tcW w:w="2134" w:type="pct"/>
            <w:tcBorders>
              <w:top w:val="nil"/>
              <w:left w:val="nil"/>
              <w:bottom w:val="nil"/>
              <w:right w:val="nil"/>
            </w:tcBorders>
            <w:shd w:val="clear" w:color="auto" w:fill="auto"/>
            <w:noWrap/>
            <w:hideMark/>
          </w:tcPr>
          <w:p w14:paraId="5D16154C" w14:textId="77777777" w:rsidR="000951C3" w:rsidRPr="007A5275" w:rsidRDefault="000951C3" w:rsidP="000951C3">
            <w:pPr>
              <w:spacing w:after="0" w:line="240" w:lineRule="auto"/>
              <w:rPr>
                <w:rFonts w:eastAsia="Times New Roman" w:cs="Times New Roman"/>
                <w:color w:val="000000"/>
                <w:sz w:val="16"/>
                <w:szCs w:val="16"/>
                <w:lang w:eastAsia="et-EE"/>
              </w:rPr>
            </w:pPr>
          </w:p>
        </w:tc>
        <w:tc>
          <w:tcPr>
            <w:tcW w:w="2102" w:type="pct"/>
            <w:tcBorders>
              <w:top w:val="nil"/>
              <w:left w:val="nil"/>
              <w:bottom w:val="nil"/>
              <w:right w:val="nil"/>
            </w:tcBorders>
            <w:shd w:val="clear" w:color="auto" w:fill="auto"/>
            <w:noWrap/>
            <w:hideMark/>
          </w:tcPr>
          <w:p w14:paraId="333BE7D1" w14:textId="77777777" w:rsidR="000951C3" w:rsidRPr="007A5275" w:rsidRDefault="000951C3" w:rsidP="000951C3">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1C3911AC" w14:textId="77777777" w:rsidR="000951C3" w:rsidRPr="007A5275" w:rsidRDefault="000951C3" w:rsidP="000951C3">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5467B7AB" w14:textId="77777777" w:rsidR="000951C3" w:rsidRPr="007A5275" w:rsidRDefault="000951C3" w:rsidP="000951C3">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29FE0033" w14:textId="77777777" w:rsidR="000951C3" w:rsidRPr="007A5275" w:rsidRDefault="000951C3" w:rsidP="000951C3">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105A7FA5" w14:textId="77777777" w:rsidR="000951C3" w:rsidRPr="007A5275" w:rsidRDefault="000951C3" w:rsidP="000951C3">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7ADF8B9E" w14:textId="77777777" w:rsidR="000951C3" w:rsidRPr="007A5275" w:rsidRDefault="000951C3" w:rsidP="000951C3">
            <w:pPr>
              <w:spacing w:after="0" w:line="240" w:lineRule="auto"/>
              <w:rPr>
                <w:rFonts w:eastAsia="Times New Roman" w:cs="Times New Roman"/>
                <w:sz w:val="20"/>
                <w:szCs w:val="20"/>
                <w:lang w:eastAsia="et-EE"/>
              </w:rPr>
            </w:pPr>
          </w:p>
        </w:tc>
        <w:tc>
          <w:tcPr>
            <w:tcW w:w="110" w:type="pct"/>
            <w:tcBorders>
              <w:top w:val="nil"/>
              <w:left w:val="nil"/>
              <w:bottom w:val="nil"/>
              <w:right w:val="nil"/>
            </w:tcBorders>
            <w:shd w:val="clear" w:color="auto" w:fill="auto"/>
            <w:noWrap/>
            <w:hideMark/>
          </w:tcPr>
          <w:p w14:paraId="6CFC32D1" w14:textId="77777777" w:rsidR="000951C3" w:rsidRPr="007A5275" w:rsidRDefault="000951C3" w:rsidP="000951C3">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22367709" w14:textId="77777777" w:rsidR="000951C3" w:rsidRPr="007A5275" w:rsidRDefault="000951C3" w:rsidP="000951C3">
            <w:pPr>
              <w:spacing w:after="0" w:line="240" w:lineRule="auto"/>
              <w:rPr>
                <w:rFonts w:eastAsia="Times New Roman" w:cs="Times New Roman"/>
                <w:sz w:val="20"/>
                <w:szCs w:val="20"/>
                <w:lang w:eastAsia="et-EE"/>
              </w:rPr>
            </w:pPr>
          </w:p>
        </w:tc>
      </w:tr>
    </w:tbl>
    <w:p w14:paraId="632E1F16" w14:textId="77777777" w:rsidR="007843BA" w:rsidRPr="007A5275" w:rsidRDefault="007843BA"/>
    <w:p w14:paraId="7B6B8C58" w14:textId="77777777" w:rsidR="00A132A5" w:rsidRPr="007A5275" w:rsidRDefault="00A132A5"/>
    <w:p w14:paraId="67F407C0" w14:textId="77777777" w:rsidR="00A132A5" w:rsidRPr="007A5275" w:rsidRDefault="00A132A5"/>
    <w:p w14:paraId="17DA2D4A" w14:textId="77777777" w:rsidR="00A132A5" w:rsidRPr="007A5275" w:rsidRDefault="00A132A5"/>
    <w:p w14:paraId="28082FE0" w14:textId="77777777" w:rsidR="00A132A5" w:rsidRPr="007A5275" w:rsidRDefault="00A132A5"/>
    <w:p w14:paraId="5D215C7F" w14:textId="77777777" w:rsidR="00A132A5" w:rsidRPr="007A5275" w:rsidRDefault="00A132A5"/>
    <w:p w14:paraId="63E64FD9" w14:textId="77777777" w:rsidR="00A132A5" w:rsidRPr="007A5275" w:rsidRDefault="00A132A5"/>
    <w:tbl>
      <w:tblPr>
        <w:tblpPr w:leftFromText="141" w:rightFromText="141" w:horzAnchor="margin" w:tblpY="-1410"/>
        <w:tblW w:w="5000" w:type="pct"/>
        <w:tblCellMar>
          <w:left w:w="70" w:type="dxa"/>
          <w:right w:w="70" w:type="dxa"/>
        </w:tblCellMar>
        <w:tblLook w:val="05A0" w:firstRow="1" w:lastRow="0" w:firstColumn="1" w:lastColumn="1" w:noHBand="0" w:noVBand="1"/>
      </w:tblPr>
      <w:tblGrid>
        <w:gridCol w:w="5978"/>
        <w:gridCol w:w="5888"/>
        <w:gridCol w:w="305"/>
        <w:gridCol w:w="305"/>
        <w:gridCol w:w="305"/>
        <w:gridCol w:w="305"/>
        <w:gridCol w:w="305"/>
        <w:gridCol w:w="308"/>
        <w:gridCol w:w="305"/>
      </w:tblGrid>
      <w:tr w:rsidR="00A132A5" w:rsidRPr="007A5275" w14:paraId="219FAF6F" w14:textId="77777777" w:rsidTr="00294E6C">
        <w:trPr>
          <w:trHeight w:val="300"/>
        </w:trPr>
        <w:tc>
          <w:tcPr>
            <w:tcW w:w="5000" w:type="pct"/>
            <w:gridSpan w:val="9"/>
            <w:tcBorders>
              <w:top w:val="nil"/>
              <w:left w:val="nil"/>
              <w:bottom w:val="nil"/>
              <w:right w:val="nil"/>
            </w:tcBorders>
            <w:shd w:val="clear" w:color="000000" w:fill="FFFFFF"/>
            <w:vAlign w:val="bottom"/>
            <w:hideMark/>
          </w:tcPr>
          <w:p w14:paraId="15921E43" w14:textId="77777777" w:rsidR="00A132A5" w:rsidRPr="007A5275" w:rsidRDefault="00A132A5" w:rsidP="00294E6C">
            <w:pPr>
              <w:spacing w:after="0" w:line="240" w:lineRule="auto"/>
              <w:jc w:val="center"/>
              <w:rPr>
                <w:rFonts w:eastAsia="Times New Roman" w:cs="Times New Roman"/>
                <w:b/>
                <w:bCs/>
                <w:color w:val="000000"/>
                <w:lang w:eastAsia="et-EE"/>
              </w:rPr>
            </w:pPr>
            <w:r w:rsidRPr="007A5275">
              <w:rPr>
                <w:rFonts w:eastAsia="Times New Roman" w:cs="Times New Roman"/>
                <w:b/>
                <w:bCs/>
                <w:color w:val="000000"/>
                <w:lang w:eastAsia="et-EE"/>
              </w:rPr>
              <w:lastRenderedPageBreak/>
              <w:t>C. STRATEEGIA MEEDE ¹</w:t>
            </w:r>
          </w:p>
        </w:tc>
      </w:tr>
      <w:tr w:rsidR="00A132A5" w:rsidRPr="007A5275" w14:paraId="2AAE9607" w14:textId="77777777" w:rsidTr="00294E6C">
        <w:trPr>
          <w:trHeight w:val="285"/>
        </w:trPr>
        <w:tc>
          <w:tcPr>
            <w:tcW w:w="5000" w:type="pct"/>
            <w:gridSpan w:val="9"/>
            <w:tcBorders>
              <w:top w:val="nil"/>
              <w:left w:val="nil"/>
              <w:bottom w:val="nil"/>
              <w:right w:val="nil"/>
            </w:tcBorders>
            <w:shd w:val="clear" w:color="000000" w:fill="FFFFFF"/>
            <w:noWrap/>
            <w:hideMark/>
          </w:tcPr>
          <w:p w14:paraId="0619E68E" w14:textId="77777777" w:rsidR="00A132A5" w:rsidRPr="007A5275" w:rsidRDefault="00A132A5" w:rsidP="00294E6C">
            <w:pPr>
              <w:spacing w:after="0" w:line="240" w:lineRule="auto"/>
              <w:jc w:val="center"/>
              <w:rPr>
                <w:rFonts w:eastAsia="Times New Roman" w:cs="Times New Roman"/>
                <w:color w:val="000000"/>
                <w:lang w:eastAsia="et-EE"/>
              </w:rPr>
            </w:pPr>
            <w:r w:rsidRPr="007A5275">
              <w:rPr>
                <w:rFonts w:eastAsia="Times New Roman" w:cs="Times New Roman"/>
                <w:color w:val="000000"/>
                <w:lang w:eastAsia="et-EE"/>
              </w:rPr>
              <w:t> </w:t>
            </w:r>
          </w:p>
        </w:tc>
      </w:tr>
      <w:tr w:rsidR="00A132A5" w:rsidRPr="007A5275" w14:paraId="4C948985" w14:textId="77777777" w:rsidTr="00294E6C">
        <w:trPr>
          <w:trHeight w:val="285"/>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noWrap/>
            <w:hideMark/>
          </w:tcPr>
          <w:p w14:paraId="06BE461D" w14:textId="77777777" w:rsidR="00A132A5" w:rsidRPr="007A5275" w:rsidRDefault="00A132A5" w:rsidP="00294E6C">
            <w:pPr>
              <w:spacing w:after="0" w:line="240" w:lineRule="auto"/>
              <w:rPr>
                <w:rFonts w:eastAsia="Times New Roman" w:cs="Times New Roman"/>
                <w:color w:val="000000"/>
                <w:lang w:eastAsia="et-EE"/>
              </w:rPr>
            </w:pPr>
            <w:r w:rsidRPr="007A5275">
              <w:rPr>
                <w:rFonts w:eastAsia="Times New Roman" w:cs="Times New Roman"/>
                <w:color w:val="000000"/>
                <w:lang w:eastAsia="et-EE"/>
              </w:rPr>
              <w:t>1. Strateegia meetme nimetus</w:t>
            </w:r>
          </w:p>
        </w:tc>
      </w:tr>
      <w:tr w:rsidR="00A132A5" w:rsidRPr="007A5275" w14:paraId="48914587" w14:textId="77777777" w:rsidTr="00294E6C">
        <w:trPr>
          <w:trHeight w:val="66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hideMark/>
          </w:tcPr>
          <w:p w14:paraId="796C9BFD" w14:textId="77777777" w:rsidR="004E2F4E" w:rsidRPr="007A5275" w:rsidRDefault="004E2F4E" w:rsidP="004E2F4E">
            <w:pPr>
              <w:spacing w:after="0" w:line="240" w:lineRule="auto"/>
              <w:jc w:val="center"/>
              <w:rPr>
                <w:rFonts w:eastAsia="Times New Roman" w:cs="Times New Roman"/>
                <w:b/>
                <w:bCs/>
                <w:color w:val="000000"/>
                <w:lang w:eastAsia="et-EE"/>
              </w:rPr>
            </w:pPr>
            <w:bookmarkStart w:id="0" w:name="_Toc290810571"/>
            <w:r w:rsidRPr="007A5275">
              <w:rPr>
                <w:rFonts w:eastAsia="Times New Roman" w:cs="Times New Roman"/>
                <w:b/>
                <w:bCs/>
                <w:color w:val="000000"/>
                <w:lang w:eastAsia="et-EE"/>
              </w:rPr>
              <w:t>Meede 2 – Kogukondade ühistegevuse arendamine</w:t>
            </w:r>
            <w:bookmarkEnd w:id="0"/>
          </w:p>
          <w:p w14:paraId="56A92F98" w14:textId="77777777" w:rsidR="004E2F4E" w:rsidRPr="007A5275" w:rsidRDefault="004E2F4E" w:rsidP="004E2F4E">
            <w:pPr>
              <w:spacing w:after="0" w:line="240" w:lineRule="auto"/>
              <w:jc w:val="center"/>
              <w:rPr>
                <w:rFonts w:eastAsia="Times New Roman" w:cs="Times New Roman"/>
                <w:b/>
                <w:color w:val="000000"/>
                <w:lang w:eastAsia="et-EE"/>
              </w:rPr>
            </w:pPr>
          </w:p>
          <w:p w14:paraId="3393CFA2" w14:textId="77777777" w:rsidR="00A132A5" w:rsidRPr="007A5275" w:rsidRDefault="00A132A5" w:rsidP="00294E6C">
            <w:pPr>
              <w:spacing w:after="0" w:line="240" w:lineRule="auto"/>
              <w:jc w:val="center"/>
              <w:rPr>
                <w:rFonts w:eastAsia="Times New Roman" w:cs="Times New Roman"/>
                <w:b/>
                <w:color w:val="000000"/>
                <w:lang w:eastAsia="et-EE"/>
              </w:rPr>
            </w:pPr>
          </w:p>
        </w:tc>
      </w:tr>
      <w:tr w:rsidR="00A132A5" w:rsidRPr="007A5275" w14:paraId="16CBC284"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noWrap/>
            <w:hideMark/>
          </w:tcPr>
          <w:p w14:paraId="0825376B" w14:textId="77777777" w:rsidR="00A132A5" w:rsidRPr="007A5275" w:rsidRDefault="00A132A5" w:rsidP="00294E6C">
            <w:pPr>
              <w:spacing w:after="0" w:line="240" w:lineRule="auto"/>
              <w:rPr>
                <w:rFonts w:eastAsia="Times New Roman" w:cs="Times New Roman"/>
                <w:color w:val="000000"/>
                <w:lang w:eastAsia="et-EE"/>
              </w:rPr>
            </w:pPr>
            <w:r w:rsidRPr="007A5275">
              <w:rPr>
                <w:rFonts w:eastAsia="Times New Roman" w:cs="Times New Roman"/>
                <w:color w:val="000000"/>
                <w:lang w:eastAsia="et-EE"/>
              </w:rPr>
              <w:t>2. Strateegia meetme rakendamise vajaduse lühikirjeldus</w:t>
            </w:r>
          </w:p>
        </w:tc>
      </w:tr>
      <w:tr w:rsidR="00A132A5" w:rsidRPr="007A5275" w14:paraId="252B068D" w14:textId="77777777" w:rsidTr="004E2F4E">
        <w:trPr>
          <w:trHeight w:val="1096"/>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tcPr>
          <w:p w14:paraId="21F1EFBD" w14:textId="77777777" w:rsidR="004E2F4E" w:rsidRPr="007A5275" w:rsidRDefault="004E2F4E" w:rsidP="004E2F4E">
            <w:pPr>
              <w:rPr>
                <w:rFonts w:cs="Arial"/>
                <w:noProof/>
              </w:rPr>
            </w:pPr>
            <w:r w:rsidRPr="007A5275">
              <w:rPr>
                <w:rFonts w:cs="Arial"/>
                <w:noProof/>
              </w:rPr>
              <w:t>NVK tegevuspiirkonnas on peamiseks kogukondade identiteedi kujundajaks ja kandjaks külad ja alevikud. Hoolimata juba tekkinud kooslustest on kohati side kogukonna liikmete vahel nõrk, mis tuleneb igapäevasest pendeldamisest pealinna ja elukoha vahel. Ühistegevuse arendamine aitab kogukondlikke sidemeid tugevdada.</w:t>
            </w:r>
          </w:p>
          <w:p w14:paraId="5986D876" w14:textId="77777777" w:rsidR="00A132A5" w:rsidRPr="007A5275" w:rsidRDefault="00A132A5" w:rsidP="004E2F4E">
            <w:pPr>
              <w:rPr>
                <w:rFonts w:eastAsia="Times New Roman" w:cs="Times New Roman"/>
                <w:color w:val="000000"/>
                <w:lang w:eastAsia="et-EE"/>
              </w:rPr>
            </w:pPr>
          </w:p>
        </w:tc>
      </w:tr>
      <w:tr w:rsidR="00A132A5" w:rsidRPr="007A5275" w14:paraId="6D9CFF75"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7EA72756" w14:textId="77777777" w:rsidR="00A132A5" w:rsidRPr="007A5275" w:rsidRDefault="00A132A5" w:rsidP="00294E6C">
            <w:pPr>
              <w:spacing w:after="0" w:line="240" w:lineRule="auto"/>
              <w:rPr>
                <w:rFonts w:eastAsia="Times New Roman" w:cs="Times New Roman"/>
                <w:color w:val="000000"/>
                <w:lang w:eastAsia="et-EE"/>
              </w:rPr>
            </w:pPr>
            <w:r w:rsidRPr="007A5275">
              <w:rPr>
                <w:rFonts w:eastAsia="Times New Roman" w:cs="Times New Roman"/>
                <w:color w:val="000000"/>
                <w:lang w:eastAsia="et-EE"/>
              </w:rPr>
              <w:t xml:space="preserve">3. Strateegia meetme eesmärk  </w:t>
            </w:r>
          </w:p>
        </w:tc>
      </w:tr>
      <w:tr w:rsidR="00A132A5" w:rsidRPr="007A5275" w14:paraId="48283509" w14:textId="77777777" w:rsidTr="00294E6C">
        <w:trPr>
          <w:trHeight w:val="726"/>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3B011707" w14:textId="77777777" w:rsidR="004E2F4E" w:rsidRPr="007A5275" w:rsidRDefault="004E2F4E" w:rsidP="004E2F4E">
            <w:pPr>
              <w:rPr>
                <w:rFonts w:cs="Times New Roman"/>
                <w:noProof/>
              </w:rPr>
            </w:pPr>
            <w:r w:rsidRPr="007A5275">
              <w:rPr>
                <w:rFonts w:cs="Times New Roman"/>
                <w:b/>
                <w:noProof/>
              </w:rPr>
              <w:t>Meetme rakendamise eesmärgiks on</w:t>
            </w:r>
            <w:r w:rsidRPr="007A5275">
              <w:rPr>
                <w:rFonts w:cs="Times New Roman"/>
                <w:noProof/>
              </w:rPr>
              <w:t xml:space="preserve"> tugevate, toimekate ja ühtehoidvate kogukondade loomine läbi seltsitegevuse, sündmuste, laagrite toetamise ja identiteeti kujundavate materjalide koostamise.</w:t>
            </w:r>
          </w:p>
          <w:p w14:paraId="33DD3432" w14:textId="77777777" w:rsidR="00A132A5" w:rsidRPr="007A5275" w:rsidRDefault="00A132A5" w:rsidP="00294E6C">
            <w:pPr>
              <w:rPr>
                <w:rFonts w:cs="Times New Roman"/>
                <w:noProof/>
              </w:rPr>
            </w:pPr>
          </w:p>
        </w:tc>
      </w:tr>
      <w:tr w:rsidR="00A132A5" w:rsidRPr="007A5275" w14:paraId="6BE2EED3"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49877010" w14:textId="77777777" w:rsidR="00A132A5" w:rsidRPr="007A5275" w:rsidRDefault="00A132A5" w:rsidP="00294E6C">
            <w:pPr>
              <w:spacing w:after="0" w:line="240" w:lineRule="auto"/>
              <w:rPr>
                <w:rFonts w:eastAsia="Times New Roman" w:cs="Times New Roman"/>
                <w:color w:val="000000"/>
                <w:lang w:eastAsia="et-EE"/>
              </w:rPr>
            </w:pPr>
            <w:r w:rsidRPr="007A5275">
              <w:rPr>
                <w:rFonts w:eastAsia="Times New Roman" w:cs="Times New Roman"/>
                <w:color w:val="000000"/>
                <w:lang w:eastAsia="et-EE"/>
              </w:rPr>
              <w:t xml:space="preserve">4. Toetatavad tegevused² </w:t>
            </w:r>
          </w:p>
        </w:tc>
      </w:tr>
      <w:tr w:rsidR="00A132A5" w:rsidRPr="007A5275" w14:paraId="392D706F" w14:textId="77777777" w:rsidTr="00294E6C">
        <w:trPr>
          <w:trHeight w:val="177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7BF10CC2" w14:textId="77777777" w:rsidR="004E2F4E" w:rsidRPr="007A5275" w:rsidRDefault="004E2F4E" w:rsidP="004E2F4E">
            <w:pPr>
              <w:pStyle w:val="Loendilik"/>
              <w:numPr>
                <w:ilvl w:val="0"/>
                <w:numId w:val="12"/>
              </w:numPr>
              <w:rPr>
                <w:rFonts w:cs="Arial"/>
                <w:noProof/>
                <w:sz w:val="22"/>
                <w:lang w:val="et-EE"/>
              </w:rPr>
            </w:pPr>
            <w:r w:rsidRPr="007A5275">
              <w:rPr>
                <w:rFonts w:cs="Arial"/>
                <w:noProof/>
                <w:sz w:val="22"/>
                <w:lang w:val="et-EE"/>
              </w:rPr>
              <w:t xml:space="preserve">Spordi- ja kultuurisündmuste korraldamine </w:t>
            </w:r>
          </w:p>
          <w:p w14:paraId="69837545" w14:textId="77777777" w:rsidR="004E2F4E" w:rsidRPr="007A5275" w:rsidRDefault="004E2F4E" w:rsidP="004E2F4E">
            <w:pPr>
              <w:pStyle w:val="Loendilik"/>
              <w:numPr>
                <w:ilvl w:val="0"/>
                <w:numId w:val="12"/>
              </w:numPr>
              <w:rPr>
                <w:rFonts w:cs="Arial"/>
                <w:noProof/>
                <w:sz w:val="22"/>
                <w:lang w:val="et-EE"/>
              </w:rPr>
            </w:pPr>
            <w:r w:rsidRPr="007A5275">
              <w:rPr>
                <w:rFonts w:cs="Arial"/>
                <w:noProof/>
                <w:sz w:val="22"/>
                <w:lang w:val="et-EE"/>
              </w:rPr>
              <w:t>Seltsitegevuse korraldamine</w:t>
            </w:r>
          </w:p>
          <w:p w14:paraId="7336CF93" w14:textId="77777777" w:rsidR="004E2F4E" w:rsidRPr="007A5275" w:rsidRDefault="004E2F4E" w:rsidP="004E2F4E">
            <w:pPr>
              <w:pStyle w:val="Loendilik"/>
              <w:numPr>
                <w:ilvl w:val="0"/>
                <w:numId w:val="12"/>
              </w:numPr>
              <w:rPr>
                <w:rFonts w:cs="Arial"/>
                <w:noProof/>
                <w:sz w:val="22"/>
                <w:lang w:val="et-EE"/>
              </w:rPr>
            </w:pPr>
            <w:r w:rsidRPr="007A5275">
              <w:rPr>
                <w:rFonts w:cs="Arial"/>
                <w:noProof/>
                <w:sz w:val="22"/>
                <w:lang w:val="et-EE"/>
              </w:rPr>
              <w:t>Tegevuste läbi viimiseks vajaliku inventari soetamine</w:t>
            </w:r>
          </w:p>
          <w:p w14:paraId="18C62FBE" w14:textId="77777777" w:rsidR="00D37DF6" w:rsidRPr="007A5275" w:rsidRDefault="004E2F4E" w:rsidP="00D37DF6">
            <w:pPr>
              <w:pStyle w:val="Loendilik"/>
              <w:numPr>
                <w:ilvl w:val="0"/>
                <w:numId w:val="12"/>
              </w:numPr>
              <w:rPr>
                <w:rFonts w:cs="Arial"/>
                <w:noProof/>
                <w:sz w:val="22"/>
                <w:lang w:val="et-EE"/>
              </w:rPr>
            </w:pPr>
            <w:r w:rsidRPr="007A5275">
              <w:rPr>
                <w:rFonts w:cs="Arial"/>
                <w:noProof/>
                <w:sz w:val="22"/>
                <w:lang w:val="et-EE"/>
              </w:rPr>
              <w:t>Materjalide koostamine ja publitseerimine</w:t>
            </w:r>
          </w:p>
          <w:p w14:paraId="062250E3" w14:textId="77777777" w:rsidR="00D37DF6" w:rsidRPr="007A5275" w:rsidRDefault="00D37DF6" w:rsidP="00D37DF6">
            <w:pPr>
              <w:rPr>
                <w:rFonts w:cs="Arial"/>
                <w:noProof/>
              </w:rPr>
            </w:pPr>
            <w:r w:rsidRPr="007A5275">
              <w:rPr>
                <w:rFonts w:cs="Arial"/>
                <w:noProof/>
              </w:rPr>
              <w:t xml:space="preserve">NB! Toetatakse ainult ühisprojekte </w:t>
            </w:r>
          </w:p>
          <w:p w14:paraId="6D85C52A" w14:textId="77777777" w:rsidR="005E0515" w:rsidRPr="007A5275" w:rsidRDefault="004E2F4E" w:rsidP="004E2F4E">
            <w:pPr>
              <w:pStyle w:val="Loendilik"/>
              <w:numPr>
                <w:ilvl w:val="0"/>
                <w:numId w:val="12"/>
              </w:numPr>
              <w:rPr>
                <w:rFonts w:cs="Arial"/>
                <w:noProof/>
                <w:sz w:val="22"/>
                <w:szCs w:val="22"/>
                <w:lang w:val="et-EE"/>
              </w:rPr>
            </w:pPr>
            <w:r w:rsidRPr="007A5275">
              <w:rPr>
                <w:rFonts w:cs="Arial"/>
                <w:noProof/>
                <w:sz w:val="22"/>
                <w:lang w:val="et-EE"/>
              </w:rPr>
              <w:t>Õppeprogrammide, -reiside ja koolituste läbi viimine ning koostöö</w:t>
            </w:r>
            <w:r w:rsidRPr="007A5275">
              <w:rPr>
                <w:rFonts w:cs="Arial"/>
                <w:noProof/>
                <w:sz w:val="22"/>
                <w:szCs w:val="22"/>
                <w:lang w:val="et-EE"/>
              </w:rPr>
              <w:t xml:space="preserve">.  Abikõlblikuks taotlejaks on Nelja Valla Kogu tegevusgrupina. </w:t>
            </w:r>
          </w:p>
          <w:p w14:paraId="3FE9DF02" w14:textId="77777777" w:rsidR="004E2F4E" w:rsidRPr="007A5275" w:rsidRDefault="004E2F4E" w:rsidP="005E0515">
            <w:pPr>
              <w:pStyle w:val="Loendilik"/>
              <w:rPr>
                <w:noProof/>
                <w:sz w:val="22"/>
                <w:szCs w:val="22"/>
                <w:lang w:val="et-EE"/>
              </w:rPr>
            </w:pPr>
            <w:r w:rsidRPr="007A5275">
              <w:rPr>
                <w:rFonts w:cs="Arial"/>
                <w:noProof/>
                <w:sz w:val="22"/>
                <w:szCs w:val="22"/>
                <w:lang w:val="et-EE"/>
              </w:rPr>
              <w:t xml:space="preserve">Tegevus hõlmab ka koostööprojekte Euroopa Parlamendi ja Nõukogu määruse nr 1303/2013 artikli nr 35 lõige 1 punkti c mõistes. Otsused koostööprojektide toetamise osas langetab NVK üldkoosolek. </w:t>
            </w:r>
            <w:r w:rsidRPr="007A5275">
              <w:rPr>
                <w:noProof/>
                <w:sz w:val="22"/>
                <w:szCs w:val="22"/>
                <w:lang w:val="et-EE"/>
              </w:rPr>
              <w:t>Vastavalt määruse nr 1305/2013 artiklile 14 lõikele 2 on koolituse puhul toetuse saajaks koolituse või muu teadmussiirde ja teavituse osutaja, kellel on asjakohane suutlikkus personali kvalifikatsiooni ja korrapärase koolituse näol.</w:t>
            </w:r>
          </w:p>
          <w:p w14:paraId="0A1D2838" w14:textId="77777777" w:rsidR="00B0309F" w:rsidRPr="007A5275" w:rsidRDefault="00B0309F" w:rsidP="001D47FD">
            <w:pPr>
              <w:pStyle w:val="Loendilik"/>
              <w:numPr>
                <w:ilvl w:val="0"/>
                <w:numId w:val="10"/>
              </w:numPr>
              <w:rPr>
                <w:rFonts w:cs="Arial"/>
                <w:noProof/>
                <w:sz w:val="22"/>
                <w:szCs w:val="22"/>
              </w:rPr>
            </w:pPr>
            <w:r w:rsidRPr="007A5275">
              <w:rPr>
                <w:rFonts w:cs="Arial"/>
                <w:noProof/>
                <w:sz w:val="22"/>
                <w:szCs w:val="22"/>
              </w:rPr>
              <w:t xml:space="preserve">koolitus- ja teavitustegevused peavad olema suunatud tegevuspiirkonna ettevõtluse arendamiseks </w:t>
            </w:r>
          </w:p>
          <w:p w14:paraId="1B9CB3AE" w14:textId="77777777" w:rsidR="00B0309F" w:rsidRPr="007A5275" w:rsidRDefault="00B0309F" w:rsidP="005E0515">
            <w:pPr>
              <w:pStyle w:val="Loendilik"/>
              <w:rPr>
                <w:noProof/>
                <w:sz w:val="22"/>
                <w:szCs w:val="22"/>
                <w:lang w:val="et-EE"/>
              </w:rPr>
            </w:pPr>
          </w:p>
          <w:p w14:paraId="65A5CAB0" w14:textId="77777777" w:rsidR="00665C1A" w:rsidRPr="007A5275" w:rsidRDefault="00665C1A" w:rsidP="00665C1A">
            <w:pPr>
              <w:rPr>
                <w:rFonts w:cs="Arial"/>
                <w:noProof/>
              </w:rPr>
            </w:pPr>
          </w:p>
          <w:p w14:paraId="245DAFC9" w14:textId="77777777" w:rsidR="004E2F4E" w:rsidRPr="007A5275" w:rsidRDefault="004E2F4E" w:rsidP="00EC4946">
            <w:pPr>
              <w:rPr>
                <w:rFonts w:cs="Arial"/>
                <w:noProof/>
              </w:rPr>
            </w:pPr>
          </w:p>
        </w:tc>
      </w:tr>
      <w:tr w:rsidR="00A132A5" w:rsidRPr="007A5275" w14:paraId="575164A0" w14:textId="77777777" w:rsidTr="00294E6C">
        <w:trPr>
          <w:trHeight w:val="765"/>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1F3F37EE" w14:textId="77777777" w:rsidR="00A132A5" w:rsidRPr="007A5275" w:rsidRDefault="00A132A5" w:rsidP="00294E6C">
            <w:pPr>
              <w:spacing w:after="0" w:line="240" w:lineRule="auto"/>
              <w:rPr>
                <w:rFonts w:eastAsia="Times New Roman" w:cs="Times New Roman"/>
                <w:lang w:eastAsia="et-EE"/>
              </w:rPr>
            </w:pPr>
            <w:r w:rsidRPr="007A5275">
              <w:rPr>
                <w:rFonts w:eastAsia="Times New Roman" w:cs="Times New Roman"/>
                <w:lang w:eastAsia="et-EE"/>
              </w:rPr>
              <w:lastRenderedPageBreak/>
              <w:t>5. Kohaliku tegevusgrupi nõuded projektitoetuse taotlejale ja toetuse saajale (sh. dokumendid , mida peab projektitoetuse taotleja esitama taotluse esitamisel)</w:t>
            </w:r>
          </w:p>
        </w:tc>
      </w:tr>
      <w:tr w:rsidR="00A132A5" w:rsidRPr="007A5275" w14:paraId="08339929" w14:textId="77777777" w:rsidTr="00294E6C">
        <w:trPr>
          <w:trHeight w:val="177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688E2CAF" w14:textId="77777777" w:rsidR="00BA3B15" w:rsidRPr="007A5275" w:rsidRDefault="00BA3B15" w:rsidP="00BA3B15">
            <w:pPr>
              <w:rPr>
                <w:rFonts w:eastAsia="Times New Roman" w:cs="Times New Roman"/>
                <w:b/>
                <w:color w:val="000000"/>
                <w:lang w:eastAsia="et-EE"/>
              </w:rPr>
            </w:pPr>
            <w:r w:rsidRPr="007A5275">
              <w:rPr>
                <w:rFonts w:eastAsia="Times New Roman" w:cs="Times New Roman"/>
                <w:b/>
                <w:color w:val="000000"/>
                <w:lang w:eastAsia="et-EE"/>
              </w:rPr>
              <w:t>Projektitoetuse taotlejale esitatavad nõuded</w:t>
            </w:r>
          </w:p>
          <w:p w14:paraId="31551842"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(1) Projektitoetust võivad taotleda kohaliku tegevusgrupi toetust saanud kohaliku tegevusgrupi tegevuspiirkonnas tegutsev ettevõtja, kohaliku omavalitsuse üksus, sihtasutus, seltsing, põllu- ja maamajanduse valdkonna riigimuuseum ning mittetulundusühing, sealhulgas kohalik tegevusgrupp (edaspidi koos projektitoetuse taotleja).</w:t>
            </w:r>
          </w:p>
          <w:p w14:paraId="289057EC"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(2) Kohaliku tegevusgrupi projektitaotlus peab olema vastu võetud kohaliku tegevusgrupi üldkoosoleku otsusega, millest peab nähtuma projektitaotluse vastavus strateegias ja rakenduskavas esitatud nõuetele.</w:t>
            </w:r>
          </w:p>
          <w:p w14:paraId="4489B833"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(3) Projektitoetuse taotleja vastab projektitoetuse saamiseks esitatavatele nõuetele, kui:</w:t>
            </w:r>
          </w:p>
          <w:p w14:paraId="726C5098"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1) ta on seltsing ja seltsinguleping on sõlmitud kirjalikult vähemalt viieks aastaks arvates PRIA poolt viimase toetusosa väljamaksmisest;</w:t>
            </w:r>
          </w:p>
          <w:p w14:paraId="405CCFC7"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2) ta vastab Euroopa Parlamendi ja nõukogu määruse (EL) nr 1305/2013 III jaotise I peatükis ja strateegia meetmes nimetatud taotleja kohta esitatud nõuetele ning riigiabi reeglitest tulenevatele nõuetele;</w:t>
            </w:r>
          </w:p>
          <w:p w14:paraId="439BE92C"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3) tal ei ole riikliku maksu võlga või tema riikliku maksu võla tasumine on ajatatud ja maksuvõla tasumise ajatamise korral on maksuvõlg, mille tasumise tähtaeg on möödunud, tasutud ettenähtud summas;</w:t>
            </w:r>
          </w:p>
          <w:p w14:paraId="4F4D1BB1"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4) ta ei ole saanud ega taotle samal ajal sama tegevuse või investeeringuobjekti kohta toetust riigieelarvelistest või muudest Euroopa Liidu või </w:t>
            </w:r>
            <w:proofErr w:type="spellStart"/>
            <w:r w:rsidRPr="007A5275">
              <w:rPr>
                <w:rFonts w:eastAsia="Times New Roman" w:cs="Times New Roman"/>
                <w:color w:val="000000"/>
                <w:lang w:eastAsia="et-EE"/>
              </w:rPr>
              <w:t>välisvahenditest</w:t>
            </w:r>
            <w:proofErr w:type="spellEnd"/>
            <w:r w:rsidRPr="007A5275">
              <w:rPr>
                <w:rFonts w:eastAsia="Times New Roman" w:cs="Times New Roman"/>
                <w:color w:val="000000"/>
                <w:lang w:eastAsia="et-EE"/>
              </w:rPr>
              <w:t xml:space="preserve"> või muud </w:t>
            </w:r>
            <w:proofErr w:type="spellStart"/>
            <w:r w:rsidRPr="007A5275">
              <w:rPr>
                <w:rFonts w:eastAsia="Times New Roman" w:cs="Times New Roman"/>
                <w:color w:val="000000"/>
                <w:lang w:eastAsia="et-EE"/>
              </w:rPr>
              <w:t>tagastamatut</w:t>
            </w:r>
            <w:proofErr w:type="spellEnd"/>
            <w:r w:rsidRPr="007A5275">
              <w:rPr>
                <w:rFonts w:eastAsia="Times New Roman" w:cs="Times New Roman"/>
                <w:color w:val="000000"/>
                <w:lang w:eastAsia="et-EE"/>
              </w:rPr>
              <w:t xml:space="preserve"> riigiabi;</w:t>
            </w:r>
          </w:p>
          <w:p w14:paraId="5C2C45EB"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5) ta on varem riigieelarvelistest või muudest Euroopa Liidu või </w:t>
            </w:r>
            <w:proofErr w:type="spellStart"/>
            <w:r w:rsidRPr="007A5275">
              <w:rPr>
                <w:rFonts w:eastAsia="Times New Roman" w:cs="Times New Roman"/>
                <w:color w:val="000000"/>
                <w:lang w:eastAsia="et-EE"/>
              </w:rPr>
              <w:t>välisvahenditest</w:t>
            </w:r>
            <w:proofErr w:type="spellEnd"/>
            <w:r w:rsidRPr="007A5275">
              <w:rPr>
                <w:rFonts w:eastAsia="Times New Roman" w:cs="Times New Roman"/>
                <w:color w:val="000000"/>
                <w:lang w:eastAsia="et-EE"/>
              </w:rPr>
              <w:t xml:space="preserve"> saadud ja tagasimaksmisele kuulunud summa tähtajal tagasi maksnud või toetuse tagasimaksmise ajatamise korral tagasimaksed tasunud ettenähtud summas;</w:t>
            </w:r>
          </w:p>
          <w:p w14:paraId="29832270"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6) tema suhtes ei ole algatatud likvideerimismenetlust ega kohtuotsusega välja kuulutatud pankrotti;</w:t>
            </w:r>
          </w:p>
          <w:p w14:paraId="26CCE2E7"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7) tähtajaliselt asutatud projektitoetuse taotleja puhul ei ole see tähtaeg lühem kui viis aastat arvates PRIA poolt viimase toetusosa väljamaksmisest.</w:t>
            </w:r>
          </w:p>
          <w:p w14:paraId="1D2984F2" w14:textId="77777777" w:rsidR="001D47FD" w:rsidRPr="007A5275" w:rsidRDefault="00BA3B15" w:rsidP="001D47FD">
            <w:pPr>
              <w:rPr>
                <w:rFonts w:cs="Arial"/>
                <w:noProof/>
              </w:rPr>
            </w:pPr>
            <w:r w:rsidRPr="007A5275">
              <w:rPr>
                <w:rFonts w:eastAsia="Times New Roman" w:cs="Times New Roman"/>
                <w:color w:val="000000"/>
                <w:lang w:eastAsia="et-EE"/>
              </w:rPr>
              <w:t xml:space="preserve"> (4) Projektitoetuse taotleja ei või toetatava tegevuse elluviimist või investeeringu tegemist alustada varem ja tegevuse elluviimist või investeeringu tegemist tõendavad dokumendid ei või olla väljastatud varem kui kohaliku tegevusgrupi poolt projektitaotluse </w:t>
            </w:r>
            <w:proofErr w:type="spellStart"/>
            <w:r w:rsidRPr="007A5275">
              <w:rPr>
                <w:rFonts w:eastAsia="Times New Roman" w:cs="Times New Roman"/>
                <w:color w:val="000000"/>
                <w:lang w:eastAsia="et-EE"/>
              </w:rPr>
              <w:t>PRIAle</w:t>
            </w:r>
            <w:proofErr w:type="spellEnd"/>
            <w:r w:rsidRPr="007A5275">
              <w:rPr>
                <w:rFonts w:eastAsia="Times New Roman" w:cs="Times New Roman"/>
                <w:color w:val="000000"/>
                <w:lang w:eastAsia="et-EE"/>
              </w:rPr>
              <w:t xml:space="preserve"> esitamise päevale järgneval päeval. </w:t>
            </w:r>
            <w:r w:rsidRPr="007A5275">
              <w:rPr>
                <w:rFonts w:cs="Arial"/>
                <w:noProof/>
              </w:rPr>
              <w:t xml:space="preserve"> </w:t>
            </w:r>
          </w:p>
          <w:p w14:paraId="5CDE0743" w14:textId="77777777" w:rsidR="001D47FD" w:rsidRPr="007A5275" w:rsidRDefault="001D47FD" w:rsidP="001D47FD">
            <w:pPr>
              <w:rPr>
                <w:rFonts w:cs="Arial"/>
                <w:noProof/>
              </w:rPr>
            </w:pPr>
            <w:r w:rsidRPr="007A5275">
              <w:rPr>
                <w:rFonts w:cs="Arial"/>
                <w:noProof/>
              </w:rPr>
              <w:t>T</w:t>
            </w:r>
            <w:r w:rsidRPr="007A5275">
              <w:rPr>
                <w:rFonts w:cs="Arial"/>
                <w:b/>
                <w:noProof/>
              </w:rPr>
              <w:t>oetust taotleda, kui need viiakse ellu:</w:t>
            </w:r>
          </w:p>
          <w:p w14:paraId="4CC97CE4" w14:textId="77777777" w:rsidR="00B0309F" w:rsidRPr="007A5275" w:rsidRDefault="00B0309F" w:rsidP="00B0309F">
            <w:r w:rsidRPr="007A5275">
              <w:rPr>
                <w:rFonts w:cs="Arial"/>
                <w:noProof/>
              </w:rPr>
              <w:lastRenderedPageBreak/>
              <w:t>kahe- kuni nelja-aastase tegevuskava alusel vähemalt kahe juriidilise isiku või füüsilisest isikust ettevõtja poolt, keda nimetatakse partneriteks ning kellest vähemalt üks ei ole teine kohalik tegevusgrupp (edaspidi ühisprojekt) või</w:t>
            </w:r>
          </w:p>
          <w:p w14:paraId="68C911B7" w14:textId="77777777" w:rsidR="00B0309F" w:rsidRPr="007A5275" w:rsidRDefault="00B0309F" w:rsidP="00731661">
            <w:pPr>
              <w:rPr>
                <w:rFonts w:cs="Arial"/>
                <w:noProof/>
              </w:rPr>
            </w:pPr>
            <w:r w:rsidRPr="007A5275">
              <w:rPr>
                <w:rFonts w:cs="Arial"/>
                <w:noProof/>
              </w:rPr>
              <w:t>koolitus- ja teavitustegevusena tegevuspiirkonna ettevõtluse arendamiseks projektitoetuse taotleja poolt, kellel on selle tegevuse elluviimiseks asjakohane suutlikkus (edaspidi teadmussiirde projekt).</w:t>
            </w:r>
          </w:p>
          <w:p w14:paraId="04B97FFC" w14:textId="77777777" w:rsidR="00731661" w:rsidRPr="007A5275" w:rsidRDefault="00731661" w:rsidP="00731661">
            <w:pPr>
              <w:rPr>
                <w:rFonts w:cs="Arial"/>
                <w:noProof/>
              </w:rPr>
            </w:pPr>
            <w:r w:rsidRPr="007A5275">
              <w:rPr>
                <w:rFonts w:cs="Arial"/>
                <w:noProof/>
              </w:rPr>
              <w:t>Projektitoetuse taotleja esitab ühisprojekti tegevuskavas järgmise teabe:</w:t>
            </w:r>
          </w:p>
          <w:p w14:paraId="5B6FAC9A" w14:textId="77777777" w:rsidR="00731661" w:rsidRPr="007A5275" w:rsidRDefault="00731661" w:rsidP="00731661">
            <w:pPr>
              <w:rPr>
                <w:rFonts w:cs="Arial"/>
                <w:noProof/>
              </w:rPr>
            </w:pPr>
            <w:r w:rsidRPr="007A5275">
              <w:rPr>
                <w:rFonts w:cs="Arial"/>
                <w:noProof/>
              </w:rPr>
              <w:t xml:space="preserve"> 1) ühisprojekti nimetus;</w:t>
            </w:r>
          </w:p>
          <w:p w14:paraId="663D89C7" w14:textId="77777777" w:rsidR="00731661" w:rsidRPr="007A5275" w:rsidRDefault="00731661" w:rsidP="00731661">
            <w:pPr>
              <w:rPr>
                <w:rFonts w:cs="Arial"/>
                <w:noProof/>
              </w:rPr>
            </w:pPr>
            <w:r w:rsidRPr="007A5275">
              <w:rPr>
                <w:rFonts w:cs="Arial"/>
                <w:noProof/>
              </w:rPr>
              <w:t xml:space="preserve"> 2) ühisprojekti eesmärkide ja tegevuste kirjeldus;</w:t>
            </w:r>
          </w:p>
          <w:p w14:paraId="61DB7E78" w14:textId="77777777" w:rsidR="00731661" w:rsidRPr="007A5275" w:rsidRDefault="00731661" w:rsidP="00731661">
            <w:pPr>
              <w:rPr>
                <w:rFonts w:cs="Arial"/>
                <w:noProof/>
              </w:rPr>
            </w:pPr>
            <w:r w:rsidRPr="007A5275">
              <w:rPr>
                <w:rFonts w:cs="Arial"/>
                <w:noProof/>
              </w:rPr>
              <w:t xml:space="preserve"> 3) tegevuskava elluviimise periood ja ajakava;</w:t>
            </w:r>
          </w:p>
          <w:p w14:paraId="3C8FA001" w14:textId="77777777" w:rsidR="00731661" w:rsidRPr="007A5275" w:rsidRDefault="00731661" w:rsidP="00731661">
            <w:pPr>
              <w:rPr>
                <w:rFonts w:cs="Arial"/>
                <w:noProof/>
              </w:rPr>
            </w:pPr>
            <w:r w:rsidRPr="007A5275">
              <w:rPr>
                <w:rFonts w:cs="Arial"/>
                <w:noProof/>
              </w:rPr>
              <w:t xml:space="preserve"> 4) ühisprojektis osaleva partneri nimi, partneri esindaja nimi ja nende kontaktandmed;</w:t>
            </w:r>
          </w:p>
          <w:p w14:paraId="6CFA1B1B" w14:textId="77777777" w:rsidR="00731661" w:rsidRPr="007A5275" w:rsidRDefault="00731661" w:rsidP="00731661">
            <w:pPr>
              <w:rPr>
                <w:rFonts w:cs="Arial"/>
                <w:noProof/>
              </w:rPr>
            </w:pPr>
            <w:r w:rsidRPr="007A5275">
              <w:rPr>
                <w:rFonts w:cs="Arial"/>
                <w:noProof/>
              </w:rPr>
              <w:t xml:space="preserve"> 5) ühisprojekti partnerite ülesannete kirjeldus;</w:t>
            </w:r>
          </w:p>
          <w:p w14:paraId="51EEC55B" w14:textId="77777777" w:rsidR="00731661" w:rsidRPr="007A5275" w:rsidRDefault="00731661" w:rsidP="00731661">
            <w:pPr>
              <w:rPr>
                <w:rFonts w:cs="Arial"/>
                <w:noProof/>
              </w:rPr>
            </w:pPr>
            <w:r w:rsidRPr="007A5275">
              <w:rPr>
                <w:rFonts w:cs="Arial"/>
                <w:noProof/>
              </w:rPr>
              <w:t xml:space="preserve"> 6) eeldatavate tulemuste kirjeldus, sealhulgas ühisprojekti laiemast mõjust tegevuspiirkonnale;</w:t>
            </w:r>
          </w:p>
          <w:p w14:paraId="50161949" w14:textId="77777777" w:rsidR="00731661" w:rsidRPr="007A5275" w:rsidRDefault="00731661" w:rsidP="00731661">
            <w:pPr>
              <w:rPr>
                <w:rFonts w:cs="Arial"/>
                <w:noProof/>
              </w:rPr>
            </w:pPr>
            <w:r w:rsidRPr="007A5275">
              <w:rPr>
                <w:rFonts w:cs="Arial"/>
                <w:noProof/>
              </w:rPr>
              <w:t xml:space="preserve"> 7) ühisprojekti raames elluviidavate tegevuste kavandatav eelarve;</w:t>
            </w:r>
          </w:p>
          <w:p w14:paraId="7AD4EE91" w14:textId="77777777" w:rsidR="00731661" w:rsidRPr="007A5275" w:rsidRDefault="00731661" w:rsidP="00731661">
            <w:pPr>
              <w:rPr>
                <w:rFonts w:cs="Arial"/>
                <w:noProof/>
              </w:rPr>
            </w:pPr>
            <w:r w:rsidRPr="007A5275">
              <w:rPr>
                <w:rFonts w:cs="Arial"/>
                <w:noProof/>
              </w:rPr>
              <w:t xml:space="preserve"> 8) ühisprojektis osaleva projektitoetuse taotleja ja partneri allkirjad.</w:t>
            </w:r>
          </w:p>
          <w:p w14:paraId="55D123D7" w14:textId="77777777" w:rsidR="00731661" w:rsidRPr="007A5275" w:rsidRDefault="00731661" w:rsidP="00731661">
            <w:pPr>
              <w:rPr>
                <w:rFonts w:cs="Arial"/>
                <w:noProof/>
              </w:rPr>
            </w:pPr>
            <w:r w:rsidRPr="007A5275">
              <w:rPr>
                <w:rFonts w:cs="Arial"/>
                <w:noProof/>
              </w:rPr>
              <w:t xml:space="preserve"> (5) ühisprojekti tegevuskava  PRIA vorm</w:t>
            </w:r>
            <w:r w:rsidR="007A5275" w:rsidRPr="007A5275">
              <w:rPr>
                <w:rFonts w:cs="Arial"/>
                <w:noProof/>
              </w:rPr>
              <w:t xml:space="preserve">il </w:t>
            </w:r>
          </w:p>
          <w:p w14:paraId="5358CFFD" w14:textId="77777777" w:rsidR="00A132A5" w:rsidRPr="007A5275" w:rsidRDefault="00A132A5" w:rsidP="00294E6C">
            <w:pPr>
              <w:rPr>
                <w:rFonts w:cs="Arial"/>
                <w:noProof/>
              </w:rPr>
            </w:pPr>
            <w:r w:rsidRPr="007A5275">
              <w:rPr>
                <w:rFonts w:cs="Arial"/>
                <w:b/>
                <w:noProof/>
              </w:rPr>
              <w:t xml:space="preserve">Toetuse saajad </w:t>
            </w:r>
            <w:r w:rsidRPr="007A5275">
              <w:rPr>
                <w:rFonts w:cs="Arial"/>
                <w:noProof/>
              </w:rPr>
              <w:t xml:space="preserve"> </w:t>
            </w:r>
          </w:p>
          <w:p w14:paraId="112FF16F" w14:textId="77777777" w:rsidR="00EC4946" w:rsidRPr="007A5275" w:rsidRDefault="00EC4946" w:rsidP="000626AB">
            <w:pPr>
              <w:numPr>
                <w:ilvl w:val="0"/>
                <w:numId w:val="10"/>
              </w:numPr>
              <w:rPr>
                <w:rFonts w:cs="Arial"/>
                <w:noProof/>
              </w:rPr>
            </w:pPr>
            <w:r w:rsidRPr="007A5275">
              <w:rPr>
                <w:rFonts w:cs="Arial"/>
                <w:noProof/>
              </w:rPr>
              <w:t>Kolmanda sektori organisatsioonid (MTÜd ja SAd)</w:t>
            </w:r>
          </w:p>
          <w:p w14:paraId="774DDE9A" w14:textId="77777777" w:rsidR="00EC4946" w:rsidRPr="007A5275" w:rsidRDefault="00EC4946" w:rsidP="000626AB">
            <w:pPr>
              <w:numPr>
                <w:ilvl w:val="0"/>
                <w:numId w:val="10"/>
              </w:numPr>
              <w:rPr>
                <w:rFonts w:cs="Arial"/>
                <w:noProof/>
              </w:rPr>
            </w:pPr>
            <w:r w:rsidRPr="007A5275">
              <w:rPr>
                <w:rFonts w:cs="Arial"/>
                <w:noProof/>
              </w:rPr>
              <w:t>Nelja Valla Kogu tegevusgrupina</w:t>
            </w:r>
          </w:p>
          <w:p w14:paraId="0161AB64" w14:textId="77777777" w:rsidR="00A132A5" w:rsidRPr="007A5275" w:rsidRDefault="00EC4946" w:rsidP="000626AB">
            <w:pPr>
              <w:numPr>
                <w:ilvl w:val="0"/>
                <w:numId w:val="10"/>
              </w:numPr>
              <w:rPr>
                <w:rFonts w:cs="Arial"/>
                <w:noProof/>
              </w:rPr>
            </w:pPr>
            <w:r w:rsidRPr="007A5275">
              <w:rPr>
                <w:rFonts w:cs="Arial"/>
                <w:noProof/>
              </w:rPr>
              <w:t xml:space="preserve">Koolituse või muu teadmussiirde ja teavituse osutaja, kellel on asjakohane suutlikkus personali kvalifikatsiooni ja korrapärase koolituse näol. </w:t>
            </w:r>
            <w:r w:rsidRPr="007A5275">
              <w:rPr>
                <w:rFonts w:eastAsiaTheme="minorEastAsia"/>
                <w:sz w:val="18"/>
                <w:szCs w:val="18"/>
              </w:rPr>
              <w:t xml:space="preserve"> </w:t>
            </w:r>
            <w:r w:rsidRPr="007A5275">
              <w:rPr>
                <w:rFonts w:cs="Arial"/>
                <w:noProof/>
              </w:rPr>
              <w:t>Siinkohal võib toetuse saajaks olla ka äriühing, kui tegevused on suunatud kogukonnale.</w:t>
            </w:r>
          </w:p>
          <w:p w14:paraId="1AF8CF1B" w14:textId="77777777" w:rsidR="00A132A5" w:rsidRPr="007A5275" w:rsidRDefault="00A132A5" w:rsidP="00294E6C">
            <w:pPr>
              <w:rPr>
                <w:rFonts w:eastAsia="Times New Roman" w:cs="Times New Roman"/>
                <w:b/>
                <w:color w:val="000000"/>
                <w:lang w:eastAsia="et-EE"/>
              </w:rPr>
            </w:pPr>
            <w:r w:rsidRPr="007A5275">
              <w:rPr>
                <w:rFonts w:cs="Arial"/>
                <w:b/>
                <w:noProof/>
              </w:rPr>
              <w:t>Toetatavad valdkonnad</w:t>
            </w:r>
          </w:p>
          <w:p w14:paraId="562E05FE" w14:textId="77777777" w:rsidR="00EC4946" w:rsidRPr="007A5275" w:rsidRDefault="00EC4946" w:rsidP="000626AB">
            <w:pPr>
              <w:pStyle w:val="Loendilik"/>
              <w:numPr>
                <w:ilvl w:val="0"/>
                <w:numId w:val="10"/>
              </w:numPr>
              <w:rPr>
                <w:rFonts w:cs="Arial"/>
                <w:noProof/>
                <w:sz w:val="22"/>
                <w:szCs w:val="22"/>
                <w:lang w:val="et-EE"/>
              </w:rPr>
            </w:pPr>
            <w:r w:rsidRPr="007A5275">
              <w:rPr>
                <w:rFonts w:cs="Arial"/>
                <w:noProof/>
                <w:sz w:val="22"/>
                <w:szCs w:val="22"/>
                <w:lang w:val="et-EE"/>
              </w:rPr>
              <w:t>Seltsitegevuse korraldamine</w:t>
            </w:r>
          </w:p>
          <w:p w14:paraId="3EA8B5AE" w14:textId="77777777" w:rsidR="00EC4946" w:rsidRPr="007A5275" w:rsidRDefault="00EC4946" w:rsidP="000626AB">
            <w:pPr>
              <w:pStyle w:val="Loendilik"/>
              <w:numPr>
                <w:ilvl w:val="0"/>
                <w:numId w:val="10"/>
              </w:numPr>
              <w:rPr>
                <w:rFonts w:cs="Arial"/>
                <w:noProof/>
                <w:sz w:val="22"/>
                <w:szCs w:val="22"/>
                <w:lang w:val="et-EE"/>
              </w:rPr>
            </w:pPr>
            <w:r w:rsidRPr="007A5275">
              <w:rPr>
                <w:rFonts w:cs="Arial"/>
                <w:noProof/>
                <w:sz w:val="22"/>
                <w:szCs w:val="22"/>
                <w:lang w:val="et-EE"/>
              </w:rPr>
              <w:lastRenderedPageBreak/>
              <w:t>Kultuuri- ja spordisündmuste ning koolituste korraldamine</w:t>
            </w:r>
          </w:p>
          <w:p w14:paraId="694EB29E" w14:textId="77777777" w:rsidR="00EC4946" w:rsidRPr="007A5275" w:rsidRDefault="00EC4946" w:rsidP="000626AB">
            <w:pPr>
              <w:pStyle w:val="Loendilik"/>
              <w:numPr>
                <w:ilvl w:val="0"/>
                <w:numId w:val="10"/>
              </w:numPr>
              <w:rPr>
                <w:rFonts w:cs="Arial"/>
                <w:noProof/>
                <w:sz w:val="22"/>
                <w:szCs w:val="22"/>
                <w:lang w:val="et-EE"/>
              </w:rPr>
            </w:pPr>
            <w:r w:rsidRPr="007A5275">
              <w:rPr>
                <w:rFonts w:cs="Arial"/>
                <w:noProof/>
                <w:sz w:val="22"/>
                <w:szCs w:val="22"/>
                <w:lang w:val="et-EE"/>
              </w:rPr>
              <w:t>Laagrite tegevuse toetamine</w:t>
            </w:r>
          </w:p>
          <w:p w14:paraId="0B275282" w14:textId="77777777" w:rsidR="00A132A5" w:rsidRPr="007A5275" w:rsidRDefault="00EC4946" w:rsidP="000626AB">
            <w:pPr>
              <w:pStyle w:val="Loendilik"/>
              <w:numPr>
                <w:ilvl w:val="0"/>
                <w:numId w:val="10"/>
              </w:numPr>
              <w:rPr>
                <w:rFonts w:cs="Arial"/>
                <w:noProof/>
                <w:sz w:val="22"/>
                <w:szCs w:val="22"/>
                <w:lang w:val="et-EE"/>
              </w:rPr>
            </w:pPr>
            <w:r w:rsidRPr="007A5275">
              <w:rPr>
                <w:rFonts w:cs="Arial"/>
                <w:noProof/>
                <w:sz w:val="22"/>
                <w:szCs w:val="22"/>
                <w:lang w:val="et-EE"/>
              </w:rPr>
              <w:t>Materjalide koostamine ja publitseerimine</w:t>
            </w:r>
            <w:r w:rsidRPr="007A5275">
              <w:rPr>
                <w:rFonts w:cs="Arial"/>
                <w:b/>
                <w:noProof/>
                <w:sz w:val="22"/>
                <w:szCs w:val="22"/>
                <w:lang w:val="et-EE"/>
              </w:rPr>
              <w:t xml:space="preserve"> </w:t>
            </w:r>
          </w:p>
          <w:p w14:paraId="7E950968" w14:textId="77777777" w:rsidR="00EC4946" w:rsidRPr="007A5275" w:rsidRDefault="00EC4946" w:rsidP="00EC4946">
            <w:pPr>
              <w:pStyle w:val="Loendilik"/>
              <w:rPr>
                <w:rFonts w:cs="Arial"/>
                <w:noProof/>
                <w:lang w:val="et-EE"/>
              </w:rPr>
            </w:pPr>
          </w:p>
          <w:p w14:paraId="3696E639" w14:textId="77777777" w:rsidR="00A132A5" w:rsidRPr="007A5275" w:rsidRDefault="00A132A5" w:rsidP="00294E6C">
            <w:pPr>
              <w:rPr>
                <w:rFonts w:cs="Arial"/>
                <w:b/>
                <w:noProof/>
              </w:rPr>
            </w:pPr>
            <w:r w:rsidRPr="007A5275">
              <w:rPr>
                <w:rFonts w:cs="Arial"/>
                <w:b/>
                <w:noProof/>
              </w:rPr>
              <w:t>Nõuded toetuse saajale</w:t>
            </w:r>
          </w:p>
          <w:p w14:paraId="560AF3E5" w14:textId="77777777" w:rsidR="00A132A5" w:rsidRPr="007A5275" w:rsidRDefault="00EC4946" w:rsidP="000626AB">
            <w:pPr>
              <w:pStyle w:val="Loendilik"/>
              <w:numPr>
                <w:ilvl w:val="0"/>
                <w:numId w:val="10"/>
              </w:numPr>
              <w:rPr>
                <w:rFonts w:cs="Arial"/>
                <w:noProof/>
                <w:sz w:val="22"/>
                <w:szCs w:val="22"/>
                <w:lang w:val="et-EE"/>
              </w:rPr>
            </w:pPr>
            <w:r w:rsidRPr="007A5275">
              <w:rPr>
                <w:rFonts w:cs="Arial"/>
                <w:noProof/>
                <w:sz w:val="22"/>
                <w:szCs w:val="22"/>
                <w:lang w:val="et-EE"/>
              </w:rPr>
              <w:t>Projekti otsesed kasusaajad on pärit NVK tegevuspiirkonnast</w:t>
            </w:r>
          </w:p>
          <w:p w14:paraId="7D3B7433" w14:textId="77777777" w:rsidR="000626AB" w:rsidRPr="007A5275" w:rsidRDefault="000626AB" w:rsidP="000626AB">
            <w:pPr>
              <w:pStyle w:val="Loendilik"/>
              <w:numPr>
                <w:ilvl w:val="0"/>
                <w:numId w:val="10"/>
              </w:numPr>
              <w:contextualSpacing w:val="0"/>
              <w:rPr>
                <w:sz w:val="22"/>
                <w:szCs w:val="22"/>
                <w:lang w:val="et-EE"/>
              </w:rPr>
            </w:pPr>
            <w:r w:rsidRPr="007A5275">
              <w:rPr>
                <w:sz w:val="22"/>
                <w:szCs w:val="22"/>
                <w:lang w:val="et-EE"/>
              </w:rPr>
              <w:t>Taotleja peab esitama mitte varasema kui taotluse esitamisele vahetult eelnenud kuu esimese kuupäeva seisuga mittetulundusühingu liikmete nimekirja, v.a usulised ühendused.</w:t>
            </w:r>
          </w:p>
          <w:p w14:paraId="6CE5CAD3" w14:textId="77777777" w:rsidR="000626AB" w:rsidRPr="007A5275" w:rsidRDefault="000626AB" w:rsidP="000626AB">
            <w:pPr>
              <w:pStyle w:val="Loendilik"/>
              <w:numPr>
                <w:ilvl w:val="0"/>
                <w:numId w:val="10"/>
              </w:numPr>
              <w:spacing w:after="120"/>
              <w:contextualSpacing w:val="0"/>
              <w:rPr>
                <w:sz w:val="22"/>
                <w:szCs w:val="22"/>
                <w:lang w:val="et-EE"/>
              </w:rPr>
            </w:pPr>
            <w:r w:rsidRPr="007A5275">
              <w:rPr>
                <w:sz w:val="22"/>
                <w:szCs w:val="22"/>
                <w:lang w:val="et-EE"/>
              </w:rPr>
              <w:t xml:space="preserve">Taotleja peab </w:t>
            </w:r>
            <w:r w:rsidR="00FD3B28" w:rsidRPr="007A5275">
              <w:rPr>
                <w:sz w:val="22"/>
                <w:szCs w:val="22"/>
                <w:lang w:val="et-EE"/>
              </w:rPr>
              <w:t>esitatama</w:t>
            </w:r>
            <w:r w:rsidRPr="007A5275">
              <w:rPr>
                <w:sz w:val="22"/>
                <w:szCs w:val="22"/>
                <w:lang w:val="et-EE"/>
              </w:rPr>
              <w:t xml:space="preserve"> eelmise majandusaasta tulude jaotuse, millest nähtub avaliku sektori (riigi, kohaliku omavalitsuse või nende ühenduse, muu avalik-õigusliku juriidilise isiku) toetuse osakaal. </w:t>
            </w:r>
          </w:p>
          <w:p w14:paraId="46A2FC0F" w14:textId="77777777" w:rsidR="000626AB" w:rsidRPr="007A5275" w:rsidRDefault="000626AB" w:rsidP="00D37DF6">
            <w:pPr>
              <w:pStyle w:val="Loendilik"/>
              <w:rPr>
                <w:rFonts w:cs="Arial"/>
                <w:noProof/>
                <w:lang w:val="et-EE"/>
              </w:rPr>
            </w:pPr>
          </w:p>
          <w:p w14:paraId="75ACAB94" w14:textId="77777777" w:rsidR="00EC4946" w:rsidRPr="007A5275" w:rsidRDefault="00EC4946" w:rsidP="00EC4946">
            <w:pPr>
              <w:pStyle w:val="Loendilik"/>
              <w:rPr>
                <w:rFonts w:cs="Arial"/>
                <w:noProof/>
                <w:lang w:val="et-EE"/>
              </w:rPr>
            </w:pPr>
          </w:p>
          <w:p w14:paraId="7C3F4EB0" w14:textId="77777777" w:rsidR="00A132A5" w:rsidRPr="007A5275" w:rsidRDefault="00A132A5" w:rsidP="00294E6C">
            <w:pPr>
              <w:rPr>
                <w:rFonts w:cs="Arial"/>
                <w:b/>
                <w:noProof/>
              </w:rPr>
            </w:pPr>
            <w:r w:rsidRPr="007A5275">
              <w:rPr>
                <w:rFonts w:cs="Arial"/>
                <w:b/>
                <w:noProof/>
              </w:rPr>
              <w:t>Mitteabikõlbulikud tegevused</w:t>
            </w:r>
          </w:p>
          <w:p w14:paraId="23BAB4F1" w14:textId="77777777" w:rsidR="00EC4946" w:rsidRPr="007A5275" w:rsidRDefault="00EC4946" w:rsidP="000626AB">
            <w:pPr>
              <w:pStyle w:val="Loendilik"/>
              <w:numPr>
                <w:ilvl w:val="0"/>
                <w:numId w:val="10"/>
              </w:numPr>
              <w:rPr>
                <w:rFonts w:cs="Arial"/>
                <w:noProof/>
                <w:sz w:val="22"/>
                <w:szCs w:val="22"/>
                <w:lang w:val="et-EE"/>
              </w:rPr>
            </w:pPr>
            <w:r w:rsidRPr="007A5275">
              <w:rPr>
                <w:rFonts w:cs="Arial"/>
                <w:noProof/>
                <w:sz w:val="22"/>
                <w:szCs w:val="22"/>
                <w:lang w:val="et-EE"/>
              </w:rPr>
              <w:t>Investeeringud, sh remondi- ja ehitustööd</w:t>
            </w:r>
          </w:p>
          <w:p w14:paraId="4CBC56E5" w14:textId="77777777" w:rsidR="00A132A5" w:rsidRPr="007A5275" w:rsidRDefault="00EC4946" w:rsidP="000626AB">
            <w:pPr>
              <w:pStyle w:val="Loendilik"/>
              <w:numPr>
                <w:ilvl w:val="0"/>
                <w:numId w:val="10"/>
              </w:numPr>
              <w:rPr>
                <w:rFonts w:cs="Arial"/>
                <w:noProof/>
                <w:lang w:val="et-EE"/>
              </w:rPr>
            </w:pPr>
            <w:r w:rsidRPr="007A5275">
              <w:rPr>
                <w:rFonts w:cs="Arial"/>
                <w:noProof/>
                <w:sz w:val="22"/>
                <w:szCs w:val="22"/>
                <w:lang w:val="et-EE"/>
              </w:rPr>
              <w:t>Kõik meetme määruse poolt välistatud mitteabikõlblikud tegevused</w:t>
            </w:r>
          </w:p>
          <w:p w14:paraId="705E64C2" w14:textId="77777777" w:rsidR="00665C1A" w:rsidRPr="007A5275" w:rsidRDefault="00665C1A" w:rsidP="00665C1A">
            <w:pPr>
              <w:rPr>
                <w:rFonts w:cs="Arial"/>
                <w:noProof/>
              </w:rPr>
            </w:pPr>
          </w:p>
          <w:p w14:paraId="704C50F2" w14:textId="77777777" w:rsidR="00665C1A" w:rsidRPr="007A5275" w:rsidRDefault="00665C1A" w:rsidP="00665C1A">
            <w:pPr>
              <w:rPr>
                <w:rFonts w:cs="Arial"/>
                <w:b/>
                <w:noProof/>
              </w:rPr>
            </w:pPr>
            <w:r w:rsidRPr="007A5275">
              <w:rPr>
                <w:rFonts w:cs="Arial"/>
                <w:b/>
                <w:noProof/>
              </w:rPr>
              <w:t>Esitatavad dokumendid</w:t>
            </w:r>
          </w:p>
          <w:p w14:paraId="3ACA5876" w14:textId="77777777" w:rsidR="00665C1A" w:rsidRPr="007A5275" w:rsidRDefault="00665C1A" w:rsidP="00665C1A">
            <w:pPr>
              <w:rPr>
                <w:rFonts w:cs="Arial"/>
                <w:b/>
                <w:noProof/>
              </w:rPr>
            </w:pPr>
            <w:r w:rsidRPr="007A5275">
              <w:rPr>
                <w:rFonts w:cs="Arial"/>
                <w:b/>
                <w:noProof/>
              </w:rPr>
              <w:t>1.           Projekt</w:t>
            </w:r>
          </w:p>
          <w:p w14:paraId="7FB08D24" w14:textId="77777777" w:rsidR="00665C1A" w:rsidRPr="007A5275" w:rsidRDefault="00665C1A" w:rsidP="00665C1A">
            <w:pPr>
              <w:rPr>
                <w:rFonts w:cs="Arial"/>
                <w:b/>
                <w:noProof/>
              </w:rPr>
            </w:pPr>
            <w:r w:rsidRPr="007A5275">
              <w:rPr>
                <w:rFonts w:cs="Arial"/>
                <w:b/>
                <w:noProof/>
              </w:rPr>
              <w:t>2.</w:t>
            </w:r>
            <w:r w:rsidRPr="007A5275">
              <w:rPr>
                <w:rFonts w:cs="Arial"/>
                <w:b/>
                <w:noProof/>
              </w:rPr>
              <w:tab/>
              <w:t>Projekti eelarve / kalkulatsioon Lisa 1</w:t>
            </w:r>
          </w:p>
          <w:p w14:paraId="33239BF5" w14:textId="77777777" w:rsidR="00665C1A" w:rsidRPr="007A5275" w:rsidRDefault="00BA3B15" w:rsidP="00665C1A">
            <w:pPr>
              <w:rPr>
                <w:rFonts w:cs="Arial"/>
                <w:b/>
                <w:noProof/>
              </w:rPr>
            </w:pPr>
            <w:r w:rsidRPr="007A5275">
              <w:rPr>
                <w:rFonts w:cs="Arial"/>
                <w:b/>
                <w:noProof/>
              </w:rPr>
              <w:t>3</w:t>
            </w:r>
            <w:r w:rsidR="00665C1A" w:rsidRPr="007A5275">
              <w:rPr>
                <w:rFonts w:cs="Arial"/>
                <w:b/>
                <w:noProof/>
              </w:rPr>
              <w:t>.</w:t>
            </w:r>
            <w:r w:rsidR="00665C1A" w:rsidRPr="007A5275">
              <w:rPr>
                <w:rFonts w:cs="Arial"/>
                <w:b/>
                <w:noProof/>
              </w:rPr>
              <w:tab/>
              <w:t xml:space="preserve">Soetuste puhul hinnapakkumuste koopiad (vähemalt kolm võrreldavat pakkumust kui käibemaksuta maksumus ületab 1000 €) </w:t>
            </w:r>
          </w:p>
          <w:p w14:paraId="7822E5D6" w14:textId="77777777" w:rsidR="00665C1A" w:rsidRPr="007A5275" w:rsidRDefault="00BA3B15" w:rsidP="00665C1A">
            <w:pPr>
              <w:rPr>
                <w:rFonts w:cs="Arial"/>
                <w:b/>
                <w:noProof/>
              </w:rPr>
            </w:pPr>
            <w:r w:rsidRPr="007A5275">
              <w:rPr>
                <w:rFonts w:cs="Arial"/>
                <w:b/>
                <w:noProof/>
              </w:rPr>
              <w:t>4</w:t>
            </w:r>
            <w:r w:rsidR="00665C1A" w:rsidRPr="007A5275">
              <w:rPr>
                <w:rFonts w:cs="Arial"/>
                <w:b/>
                <w:noProof/>
              </w:rPr>
              <w:t>.</w:t>
            </w:r>
            <w:r w:rsidR="00665C1A" w:rsidRPr="007A5275">
              <w:rPr>
                <w:rFonts w:cs="Arial"/>
                <w:b/>
                <w:noProof/>
              </w:rPr>
              <w:tab/>
              <w:t>Projektijuhi CV (vabas vormis)</w:t>
            </w:r>
          </w:p>
          <w:p w14:paraId="6DD828CB" w14:textId="77777777" w:rsidR="00665C1A" w:rsidRPr="007A5275" w:rsidRDefault="00BA3B15" w:rsidP="00665C1A">
            <w:pPr>
              <w:rPr>
                <w:rFonts w:cs="Arial"/>
                <w:b/>
                <w:noProof/>
              </w:rPr>
            </w:pPr>
            <w:r w:rsidRPr="007A5275">
              <w:rPr>
                <w:rFonts w:cs="Arial"/>
                <w:b/>
                <w:noProof/>
              </w:rPr>
              <w:t>5</w:t>
            </w:r>
            <w:r w:rsidR="00665C1A" w:rsidRPr="007A5275">
              <w:rPr>
                <w:rFonts w:cs="Arial"/>
                <w:b/>
                <w:noProof/>
              </w:rPr>
              <w:t>.</w:t>
            </w:r>
            <w:r w:rsidR="00665C1A" w:rsidRPr="007A5275">
              <w:rPr>
                <w:rFonts w:cs="Arial"/>
                <w:b/>
                <w:noProof/>
              </w:rPr>
              <w:tab/>
              <w:t>Hinnapakkumiste võrdlustabel Lisa 2</w:t>
            </w:r>
          </w:p>
          <w:p w14:paraId="18A1DCE0" w14:textId="77777777" w:rsidR="00D37DF6" w:rsidRPr="007A5275" w:rsidRDefault="00D37DF6" w:rsidP="00665C1A">
            <w:pPr>
              <w:rPr>
                <w:rFonts w:cs="Arial"/>
                <w:b/>
                <w:noProof/>
              </w:rPr>
            </w:pPr>
            <w:r w:rsidRPr="007A5275">
              <w:rPr>
                <w:rFonts w:cs="Arial"/>
                <w:b/>
                <w:noProof/>
              </w:rPr>
              <w:t>7.           Ühis</w:t>
            </w:r>
            <w:r w:rsidR="00B0309F" w:rsidRPr="007A5275">
              <w:rPr>
                <w:rFonts w:cs="Arial"/>
                <w:b/>
                <w:noProof/>
              </w:rPr>
              <w:t>projekti tegevuskava PRIA vormi</w:t>
            </w:r>
          </w:p>
          <w:p w14:paraId="14A32ADC" w14:textId="77777777" w:rsidR="00D37DF6" w:rsidRPr="007A5275" w:rsidRDefault="00D37DF6" w:rsidP="00D37DF6">
            <w:pPr>
              <w:spacing w:after="120"/>
              <w:rPr>
                <w:b/>
              </w:rPr>
            </w:pPr>
            <w:r w:rsidRPr="007A5275">
              <w:rPr>
                <w:rFonts w:cs="Arial"/>
                <w:b/>
                <w:noProof/>
              </w:rPr>
              <w:t xml:space="preserve">8.           </w:t>
            </w:r>
            <w:r w:rsidRPr="007A5275">
              <w:t xml:space="preserve"> </w:t>
            </w:r>
            <w:r w:rsidRPr="007A5275">
              <w:rPr>
                <w:b/>
              </w:rPr>
              <w:t xml:space="preserve">eelmise majandusaasta tulude jaotus, millest nähtub avaliku sektori (riigi, kohaliku omavalitsuse või nende ühenduse, muu avalik-õigusliku juriidilise isiku) toetuse osakaal. </w:t>
            </w:r>
          </w:p>
          <w:p w14:paraId="52AFF736" w14:textId="77777777" w:rsidR="00D37DF6" w:rsidRPr="007A5275" w:rsidRDefault="00D37DF6" w:rsidP="00665C1A">
            <w:pPr>
              <w:rPr>
                <w:rFonts w:cs="Arial"/>
                <w:b/>
                <w:noProof/>
              </w:rPr>
            </w:pPr>
            <w:r w:rsidRPr="007A5275">
              <w:rPr>
                <w:rFonts w:cs="Arial"/>
                <w:b/>
                <w:noProof/>
              </w:rPr>
              <w:lastRenderedPageBreak/>
              <w:t>Nelja Valla Kogu üldkoosoleku otsus tegevusgrupi koostööprojektide kohta</w:t>
            </w:r>
          </w:p>
          <w:p w14:paraId="43ABC2C9" w14:textId="77777777" w:rsidR="00665C1A" w:rsidRPr="007A5275" w:rsidRDefault="00665C1A" w:rsidP="00665C1A">
            <w:pPr>
              <w:rPr>
                <w:rFonts w:cs="Arial"/>
                <w:b/>
                <w:noProof/>
              </w:rPr>
            </w:pPr>
            <w:r w:rsidRPr="007A5275">
              <w:rPr>
                <w:rFonts w:cs="Arial"/>
                <w:b/>
                <w:noProof/>
              </w:rPr>
              <w:t>NB! Taotlusdokumendid esitatakse e-pria vahendusel!</w:t>
            </w:r>
          </w:p>
          <w:p w14:paraId="2F5C6FA3" w14:textId="77777777" w:rsidR="00665C1A" w:rsidRPr="007A5275" w:rsidRDefault="00665C1A" w:rsidP="00665C1A">
            <w:pPr>
              <w:rPr>
                <w:rFonts w:cs="Arial"/>
                <w:noProof/>
              </w:rPr>
            </w:pPr>
          </w:p>
        </w:tc>
      </w:tr>
      <w:tr w:rsidR="00A132A5" w:rsidRPr="007A5275" w14:paraId="6A39E12D"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3E875E4F" w14:textId="77777777" w:rsidR="00A132A5" w:rsidRPr="007A5275" w:rsidRDefault="00A132A5" w:rsidP="00294E6C">
            <w:pPr>
              <w:spacing w:after="0" w:line="240" w:lineRule="auto"/>
              <w:rPr>
                <w:rFonts w:eastAsia="Times New Roman" w:cs="Times New Roman"/>
                <w:color w:val="000000"/>
                <w:lang w:eastAsia="et-EE"/>
              </w:rPr>
            </w:pPr>
            <w:r w:rsidRPr="007A5275">
              <w:rPr>
                <w:rFonts w:eastAsia="Times New Roman" w:cs="Times New Roman"/>
                <w:color w:val="000000"/>
                <w:lang w:eastAsia="et-EE"/>
              </w:rPr>
              <w:lastRenderedPageBreak/>
              <w:t xml:space="preserve">6. Toetuse maksimaalne suurus ja määr </w:t>
            </w:r>
          </w:p>
        </w:tc>
      </w:tr>
      <w:tr w:rsidR="00A132A5" w:rsidRPr="007A5275" w14:paraId="1B6F862F" w14:textId="77777777" w:rsidTr="000D6BE9">
        <w:trPr>
          <w:trHeight w:val="1408"/>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49806B71" w14:textId="77777777" w:rsidR="00EC4946" w:rsidRPr="007A5275" w:rsidRDefault="00EC4946" w:rsidP="00EC4946">
            <w:pPr>
              <w:numPr>
                <w:ilvl w:val="0"/>
                <w:numId w:val="2"/>
              </w:numPr>
              <w:rPr>
                <w:rFonts w:cs="Arial"/>
                <w:noProof/>
              </w:rPr>
            </w:pPr>
            <w:r w:rsidRPr="007A5275">
              <w:rPr>
                <w:rFonts w:cs="Arial"/>
                <w:noProof/>
              </w:rPr>
              <w:t>Minimaalne toetussumma – 2000 EUR</w:t>
            </w:r>
          </w:p>
          <w:p w14:paraId="5EA69DB3" w14:textId="77777777" w:rsidR="00EC4946" w:rsidRPr="007A5275" w:rsidRDefault="00EC4946" w:rsidP="00EC4946">
            <w:pPr>
              <w:numPr>
                <w:ilvl w:val="0"/>
                <w:numId w:val="2"/>
              </w:numPr>
              <w:rPr>
                <w:rFonts w:cs="Arial"/>
                <w:noProof/>
              </w:rPr>
            </w:pPr>
            <w:r w:rsidRPr="007A5275">
              <w:rPr>
                <w:rFonts w:cs="Arial"/>
                <w:noProof/>
              </w:rPr>
              <w:t xml:space="preserve">Maksimaalne toetussumma – 15 000 EUR. </w:t>
            </w:r>
          </w:p>
          <w:p w14:paraId="38FCB917" w14:textId="77777777" w:rsidR="00EC4946" w:rsidRPr="007A5275" w:rsidRDefault="00EC4946" w:rsidP="00EC4946">
            <w:pPr>
              <w:numPr>
                <w:ilvl w:val="0"/>
                <w:numId w:val="2"/>
              </w:numPr>
              <w:rPr>
                <w:rFonts w:cs="Arial"/>
                <w:noProof/>
              </w:rPr>
            </w:pPr>
            <w:r w:rsidRPr="007A5275">
              <w:rPr>
                <w:rFonts w:cs="Arial"/>
                <w:noProof/>
              </w:rPr>
              <w:t xml:space="preserve">Ühisprojekti puhul on maksimaalseks toetuse määraks 30 000 eurot.   Lisaks Leader-määruses toodud nõuetele (paragrahv 28, lõiked 3, 4 ja 5) peab ühisprojekt vastama järgmistele tingimustele: </w:t>
            </w:r>
          </w:p>
          <w:p w14:paraId="525571C2" w14:textId="77777777" w:rsidR="000D6BE9" w:rsidRPr="007A5275" w:rsidRDefault="00EC4946" w:rsidP="000D6BE9">
            <w:pPr>
              <w:pStyle w:val="Loendilik"/>
              <w:numPr>
                <w:ilvl w:val="0"/>
                <w:numId w:val="16"/>
              </w:numPr>
              <w:rPr>
                <w:rFonts w:cs="Arial"/>
                <w:noProof/>
                <w:sz w:val="22"/>
                <w:szCs w:val="22"/>
                <w:lang w:val="et-EE"/>
              </w:rPr>
            </w:pPr>
            <w:r w:rsidRPr="007A5275">
              <w:rPr>
                <w:rFonts w:cs="Arial"/>
                <w:noProof/>
                <w:sz w:val="22"/>
                <w:szCs w:val="22"/>
                <w:lang w:val="et-EE"/>
              </w:rPr>
              <w:t xml:space="preserve">Tegemist on ühisprojektiga, kui hõlmatud on vähemalt 2 omavalitsuse elanikkond, </w:t>
            </w:r>
          </w:p>
          <w:p w14:paraId="32FA077A" w14:textId="77777777" w:rsidR="000D6BE9" w:rsidRPr="007A5275" w:rsidRDefault="00EC4946" w:rsidP="000D6BE9">
            <w:pPr>
              <w:pStyle w:val="Loendilik"/>
              <w:numPr>
                <w:ilvl w:val="0"/>
                <w:numId w:val="16"/>
              </w:numPr>
              <w:rPr>
                <w:rFonts w:cs="Arial"/>
                <w:noProof/>
                <w:sz w:val="22"/>
                <w:szCs w:val="22"/>
                <w:lang w:val="et-EE"/>
              </w:rPr>
            </w:pPr>
            <w:r w:rsidRPr="007A5275">
              <w:rPr>
                <w:rFonts w:cs="Arial"/>
                <w:noProof/>
                <w:sz w:val="22"/>
                <w:szCs w:val="22"/>
                <w:lang w:val="et-EE"/>
              </w:rPr>
              <w:t>omafinantseering kaetakse partnerite poolt proportsionaalselt kasusaajate arvuga (kui taotlej</w:t>
            </w:r>
            <w:r w:rsidR="000D6BE9" w:rsidRPr="007A5275">
              <w:rPr>
                <w:rFonts w:cs="Arial"/>
                <w:noProof/>
                <w:sz w:val="22"/>
                <w:szCs w:val="22"/>
                <w:lang w:val="et-EE"/>
              </w:rPr>
              <w:t>aks ei ole NVK tegevusgrupina).</w:t>
            </w:r>
          </w:p>
          <w:p w14:paraId="3CFDB1A8" w14:textId="77777777" w:rsidR="00EC4946" w:rsidRPr="007A5275" w:rsidRDefault="00EC4946" w:rsidP="000D6BE9">
            <w:pPr>
              <w:pStyle w:val="Loendilik"/>
              <w:numPr>
                <w:ilvl w:val="0"/>
                <w:numId w:val="16"/>
              </w:numPr>
              <w:rPr>
                <w:rFonts w:cs="Arial"/>
                <w:noProof/>
                <w:sz w:val="22"/>
                <w:szCs w:val="22"/>
                <w:lang w:val="et-EE"/>
              </w:rPr>
            </w:pPr>
            <w:r w:rsidRPr="007A5275">
              <w:rPr>
                <w:rFonts w:cs="Arial"/>
                <w:noProof/>
                <w:sz w:val="22"/>
                <w:szCs w:val="22"/>
                <w:lang w:val="et-EE"/>
              </w:rPr>
              <w:t>Otsused ühisprojektide toetuse osas langetab NVK üldkoosolek.</w:t>
            </w:r>
          </w:p>
          <w:p w14:paraId="6B9547CE" w14:textId="77777777" w:rsidR="000D6BE9" w:rsidRPr="007A5275" w:rsidRDefault="000D6BE9" w:rsidP="000D6BE9">
            <w:pPr>
              <w:rPr>
                <w:rFonts w:cs="Arial"/>
                <w:b/>
                <w:noProof/>
              </w:rPr>
            </w:pPr>
            <w:r w:rsidRPr="007A5275">
              <w:rPr>
                <w:rFonts w:cs="Arial"/>
                <w:b/>
                <w:noProof/>
              </w:rPr>
              <w:t>Toetuse  %</w:t>
            </w:r>
          </w:p>
          <w:p w14:paraId="58F09881" w14:textId="77777777" w:rsidR="000D6BE9" w:rsidRPr="007A5275" w:rsidRDefault="000D6BE9" w:rsidP="000D6BE9">
            <w:pPr>
              <w:numPr>
                <w:ilvl w:val="0"/>
                <w:numId w:val="13"/>
              </w:numPr>
              <w:rPr>
                <w:rFonts w:cs="Arial"/>
                <w:noProof/>
              </w:rPr>
            </w:pPr>
            <w:r w:rsidRPr="007A5275">
              <w:rPr>
                <w:rFonts w:cs="Arial"/>
                <w:noProof/>
              </w:rPr>
              <w:t>Kolmanda sektori organisatsioonid (MTÜd ja SAd) 90%</w:t>
            </w:r>
          </w:p>
          <w:p w14:paraId="211771A5" w14:textId="77777777" w:rsidR="00A132A5" w:rsidRPr="007A5275" w:rsidRDefault="000D6BE9" w:rsidP="000D6BE9">
            <w:pPr>
              <w:numPr>
                <w:ilvl w:val="0"/>
                <w:numId w:val="13"/>
              </w:numPr>
              <w:rPr>
                <w:rFonts w:cs="Arial"/>
                <w:noProof/>
              </w:rPr>
            </w:pPr>
            <w:r w:rsidRPr="007A5275">
              <w:rPr>
                <w:rFonts w:cs="Arial"/>
                <w:noProof/>
              </w:rPr>
              <w:t>Äriühing</w:t>
            </w:r>
            <w:r w:rsidR="004954D2" w:rsidRPr="007A5275">
              <w:rPr>
                <w:rFonts w:cs="Arial"/>
                <w:noProof/>
              </w:rPr>
              <w:t xml:space="preserve"> 60%</w:t>
            </w:r>
            <w:r w:rsidRPr="007A5275">
              <w:rPr>
                <w:rFonts w:cs="Arial"/>
                <w:noProof/>
              </w:rPr>
              <w:t xml:space="preserve"> </w:t>
            </w:r>
          </w:p>
        </w:tc>
      </w:tr>
      <w:tr w:rsidR="00A132A5" w:rsidRPr="007A5275" w14:paraId="3BC09AB8"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207B783E" w14:textId="77777777" w:rsidR="00A132A5" w:rsidRPr="007A5275" w:rsidRDefault="00A132A5" w:rsidP="00294E6C">
            <w:pPr>
              <w:spacing w:after="0" w:line="240" w:lineRule="auto"/>
              <w:rPr>
                <w:rFonts w:eastAsia="Times New Roman" w:cs="Times New Roman"/>
                <w:lang w:eastAsia="et-EE"/>
              </w:rPr>
            </w:pPr>
            <w:r w:rsidRPr="007A5275">
              <w:rPr>
                <w:rFonts w:eastAsia="Times New Roman" w:cs="Times New Roman"/>
                <w:lang w:eastAsia="et-EE"/>
              </w:rPr>
              <w:t xml:space="preserve">7. Viide sihtvaldkonnale </w:t>
            </w:r>
          </w:p>
        </w:tc>
      </w:tr>
      <w:tr w:rsidR="00A132A5" w:rsidRPr="007A5275" w14:paraId="67E7E65F" w14:textId="77777777" w:rsidTr="00294E6C">
        <w:trPr>
          <w:trHeight w:val="664"/>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66FC6786" w14:textId="77777777" w:rsidR="00A132A5" w:rsidRPr="007A5275" w:rsidRDefault="00A132A5" w:rsidP="00294E6C">
            <w:pPr>
              <w:rPr>
                <w:rFonts w:cs="Times New Roman"/>
                <w:noProof/>
              </w:rPr>
            </w:pPr>
            <w:r w:rsidRPr="007A5275">
              <w:rPr>
                <w:rFonts w:cs="Times New Roman"/>
                <w:noProof/>
              </w:rPr>
              <w:t xml:space="preserve">Meede nr </w:t>
            </w:r>
            <w:r w:rsidR="00294E6C" w:rsidRPr="007A5275">
              <w:rPr>
                <w:rFonts w:cs="Times New Roman"/>
                <w:noProof/>
              </w:rPr>
              <w:t>2</w:t>
            </w:r>
            <w:r w:rsidRPr="007A5275">
              <w:rPr>
                <w:rFonts w:cs="Times New Roman"/>
                <w:noProof/>
              </w:rPr>
              <w:t xml:space="preserve"> panustab sihtvaldkonda 6B: maapiirkondade kohaliku arengu soodustamine. </w:t>
            </w:r>
          </w:p>
          <w:p w14:paraId="7C1C61FB" w14:textId="77777777" w:rsidR="00A132A5" w:rsidRPr="007A5275" w:rsidRDefault="00A132A5" w:rsidP="00294E6C">
            <w:pPr>
              <w:rPr>
                <w:rFonts w:eastAsia="Times New Roman" w:cs="Times New Roman"/>
                <w:color w:val="000000"/>
                <w:lang w:eastAsia="et-EE"/>
              </w:rPr>
            </w:pPr>
          </w:p>
        </w:tc>
      </w:tr>
      <w:tr w:rsidR="00A132A5" w:rsidRPr="007A5275" w14:paraId="61FC29FB" w14:textId="77777777" w:rsidTr="00294E6C">
        <w:trPr>
          <w:trHeight w:val="705"/>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467DC505" w14:textId="77777777" w:rsidR="00A132A5" w:rsidRPr="007A5275" w:rsidRDefault="00A132A5" w:rsidP="00294E6C">
            <w:pPr>
              <w:spacing w:after="0" w:line="240" w:lineRule="auto"/>
              <w:rPr>
                <w:rFonts w:eastAsia="Times New Roman" w:cs="Times New Roman"/>
                <w:color w:val="000000"/>
                <w:lang w:eastAsia="et-EE"/>
              </w:rPr>
            </w:pPr>
            <w:r w:rsidRPr="007A5275">
              <w:rPr>
                <w:rFonts w:eastAsia="Times New Roman" w:cs="Times New Roman"/>
                <w:color w:val="000000"/>
                <w:lang w:eastAsia="et-EE"/>
              </w:rPr>
              <w:t>8. Euroopa Parlamendi ja nõukogu määruse (EL) nr 1305/2013 artiklis 5 nimetatud prioriteedid, mille eesmärkide saavutamisele strateegia meetme rakendamine enim kaasa aitab</w:t>
            </w:r>
            <w:r w:rsidRPr="007A5275">
              <w:rPr>
                <w:rFonts w:eastAsia="Times New Roman" w:cs="Times New Roman"/>
                <w:color w:val="000000"/>
                <w:vertAlign w:val="superscript"/>
                <w:lang w:eastAsia="et-EE"/>
              </w:rPr>
              <w:t>3</w:t>
            </w:r>
          </w:p>
        </w:tc>
      </w:tr>
      <w:tr w:rsidR="00A132A5" w:rsidRPr="007A5275" w14:paraId="2C367F0F" w14:textId="77777777" w:rsidTr="00294E6C">
        <w:trPr>
          <w:trHeight w:val="854"/>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21E361DF" w14:textId="77777777" w:rsidR="00A132A5" w:rsidRPr="007A5275" w:rsidRDefault="00A132A5" w:rsidP="00294E6C">
            <w:pPr>
              <w:spacing w:after="0" w:line="240" w:lineRule="auto"/>
              <w:rPr>
                <w:rFonts w:cs="Times New Roman"/>
                <w:noProof/>
              </w:rPr>
            </w:pPr>
            <w:r w:rsidRPr="007A5275">
              <w:rPr>
                <w:rFonts w:cs="Times New Roman"/>
                <w:noProof/>
              </w:rPr>
              <w:t>NVK m</w:t>
            </w:r>
            <w:r w:rsidR="00294E6C" w:rsidRPr="007A5275">
              <w:rPr>
                <w:rFonts w:cs="Times New Roman"/>
                <w:noProof/>
              </w:rPr>
              <w:t>eede nr 2</w:t>
            </w:r>
            <w:r w:rsidRPr="007A5275">
              <w:rPr>
                <w:rFonts w:cs="Times New Roman"/>
                <w:noProof/>
              </w:rPr>
              <w:t xml:space="preserve"> vastab Maaelu Arengu Euroopa Põllumajandusfondi (EAFRD) prioriteedile nr 6: sotsiaalse kaasamise, vaesuse vähendamise ja maapiirkondade majandusliku arengu edendamine</w:t>
            </w:r>
          </w:p>
          <w:p w14:paraId="2B2E59C4" w14:textId="77777777" w:rsidR="00A132A5" w:rsidRPr="007A5275" w:rsidRDefault="00FD3B28" w:rsidP="00294E6C">
            <w:pPr>
              <w:spacing w:after="0" w:line="240" w:lineRule="auto"/>
              <w:rPr>
                <w:rFonts w:eastAsia="Times New Roman" w:cs="Times New Roman"/>
                <w:color w:val="000000"/>
                <w:lang w:eastAsia="et-EE"/>
              </w:rPr>
            </w:pPr>
            <w:r w:rsidRPr="007A5275">
              <w:rPr>
                <w:rFonts w:cs="Arial"/>
                <w:noProof/>
              </w:rPr>
              <w:t>Abikõlbulikud tegevused vastavalt Euroopa Parlamendi ja Nõukogu määruse nr 1305/2013 artiklitele nr 14, 20, 35 ja 44</w:t>
            </w:r>
          </w:p>
        </w:tc>
      </w:tr>
      <w:tr w:rsidR="00A132A5" w:rsidRPr="007A5275" w14:paraId="5DBA7860"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41B52789" w14:textId="77777777" w:rsidR="00A132A5" w:rsidRPr="007A5275" w:rsidRDefault="00A132A5" w:rsidP="00294E6C">
            <w:pPr>
              <w:spacing w:after="0" w:line="240" w:lineRule="auto"/>
              <w:rPr>
                <w:rFonts w:eastAsia="Times New Roman" w:cs="Times New Roman"/>
                <w:color w:val="000000"/>
                <w:lang w:eastAsia="et-EE"/>
              </w:rPr>
            </w:pPr>
            <w:r w:rsidRPr="007A5275">
              <w:rPr>
                <w:rFonts w:eastAsia="Times New Roman" w:cs="Times New Roman"/>
                <w:color w:val="000000"/>
                <w:lang w:eastAsia="et-EE"/>
              </w:rPr>
              <w:t>9. Viide arengukava meetmele, kui strateegia meede sellega kattub</w:t>
            </w:r>
          </w:p>
        </w:tc>
      </w:tr>
      <w:tr w:rsidR="00A132A5" w:rsidRPr="007A5275" w14:paraId="4D3C70E1" w14:textId="77777777" w:rsidTr="00294E6C">
        <w:trPr>
          <w:trHeight w:val="814"/>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55A8F143" w14:textId="77777777" w:rsidR="00A132A5" w:rsidRPr="007A5275" w:rsidRDefault="00A132A5" w:rsidP="00294E6C">
            <w:pPr>
              <w:spacing w:after="0" w:line="240" w:lineRule="auto"/>
              <w:rPr>
                <w:rFonts w:eastAsia="Times New Roman" w:cs="Times New Roman"/>
                <w:color w:val="000000"/>
                <w:lang w:eastAsia="et-EE"/>
              </w:rPr>
            </w:pPr>
            <w:r w:rsidRPr="007A5275">
              <w:rPr>
                <w:rFonts w:eastAsia="Times New Roman" w:cs="Times New Roman"/>
                <w:color w:val="000000"/>
                <w:lang w:eastAsia="et-EE"/>
              </w:rPr>
              <w:lastRenderedPageBreak/>
              <w:t> </w:t>
            </w:r>
          </w:p>
        </w:tc>
      </w:tr>
      <w:tr w:rsidR="00A132A5" w:rsidRPr="007A5275" w14:paraId="3810B86E"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22C343E7" w14:textId="77777777" w:rsidR="00A132A5" w:rsidRPr="007A5275" w:rsidRDefault="00A132A5" w:rsidP="00294E6C">
            <w:pPr>
              <w:spacing w:after="0" w:line="240" w:lineRule="auto"/>
              <w:rPr>
                <w:rFonts w:eastAsia="Times New Roman" w:cs="Times New Roman"/>
                <w:color w:val="000000"/>
                <w:lang w:eastAsia="et-EE"/>
              </w:rPr>
            </w:pPr>
            <w:r w:rsidRPr="007A5275">
              <w:rPr>
                <w:rFonts w:eastAsia="Times New Roman" w:cs="Times New Roman"/>
                <w:color w:val="000000"/>
                <w:lang w:eastAsia="et-EE"/>
              </w:rPr>
              <w:t>10. Strateegia meetme indikaatorid ja sihttasemed</w:t>
            </w:r>
          </w:p>
        </w:tc>
      </w:tr>
      <w:tr w:rsidR="00A132A5" w:rsidRPr="007A5275" w14:paraId="3FCCDDCF" w14:textId="77777777" w:rsidTr="00294E6C">
        <w:trPr>
          <w:trHeight w:val="142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748020AF" w14:textId="77777777" w:rsidR="00A132A5" w:rsidRPr="007A5275" w:rsidRDefault="00A132A5" w:rsidP="00294E6C">
            <w:pPr>
              <w:rPr>
                <w:rFonts w:cs="Arial"/>
                <w:b/>
                <w:noProof/>
              </w:rPr>
            </w:pPr>
            <w:r w:rsidRPr="007A5275">
              <w:rPr>
                <w:rFonts w:eastAsia="Times New Roman" w:cs="Times New Roman"/>
                <w:color w:val="000000"/>
                <w:lang w:eastAsia="et-EE"/>
              </w:rPr>
              <w:t> </w:t>
            </w:r>
            <w:r w:rsidRPr="007A5275">
              <w:rPr>
                <w:rFonts w:cs="Arial"/>
                <w:noProof/>
              </w:rPr>
              <w:t xml:space="preserve"> </w:t>
            </w:r>
            <w:r w:rsidRPr="007A5275">
              <w:rPr>
                <w:rFonts w:cs="Arial"/>
                <w:b/>
                <w:noProof/>
              </w:rPr>
              <w:t>Väljundmõõdikud ja soovitud sihttasemed:</w:t>
            </w:r>
          </w:p>
          <w:p w14:paraId="7272D9C6" w14:textId="77777777" w:rsidR="000D6BE9" w:rsidRPr="007A5275" w:rsidRDefault="000D6BE9" w:rsidP="000D6BE9">
            <w:pPr>
              <w:pStyle w:val="Loendilik"/>
              <w:numPr>
                <w:ilvl w:val="0"/>
                <w:numId w:val="9"/>
              </w:numPr>
              <w:rPr>
                <w:rFonts w:cs="Arial"/>
                <w:noProof/>
                <w:sz w:val="22"/>
                <w:szCs w:val="22"/>
                <w:lang w:val="et-EE"/>
              </w:rPr>
            </w:pPr>
            <w:r w:rsidRPr="007A5275">
              <w:rPr>
                <w:rFonts w:cs="Arial"/>
                <w:noProof/>
                <w:sz w:val="22"/>
                <w:szCs w:val="22"/>
                <w:lang w:val="et-EE"/>
              </w:rPr>
              <w:t>korraldatud suursündmuste arv aastas – 4 (üks igas vallas);</w:t>
            </w:r>
          </w:p>
          <w:p w14:paraId="3B19790A" w14:textId="77777777" w:rsidR="000D6BE9" w:rsidRPr="007A5275" w:rsidRDefault="000D6BE9" w:rsidP="000D6BE9">
            <w:pPr>
              <w:pStyle w:val="Loendilik"/>
              <w:numPr>
                <w:ilvl w:val="0"/>
                <w:numId w:val="9"/>
              </w:numPr>
              <w:rPr>
                <w:rFonts w:cs="Arial"/>
                <w:noProof/>
                <w:sz w:val="22"/>
                <w:szCs w:val="22"/>
                <w:lang w:val="et-EE"/>
              </w:rPr>
            </w:pPr>
            <w:r w:rsidRPr="007A5275">
              <w:rPr>
                <w:rFonts w:cs="Arial"/>
                <w:noProof/>
                <w:sz w:val="22"/>
                <w:szCs w:val="22"/>
                <w:lang w:val="et-EE"/>
              </w:rPr>
              <w:t>korraldatud laagrite arv aastas – 4 (üks igas vallas);</w:t>
            </w:r>
          </w:p>
          <w:p w14:paraId="5B455510" w14:textId="77777777" w:rsidR="00A132A5" w:rsidRPr="007A5275" w:rsidRDefault="000D6BE9" w:rsidP="000D6BE9">
            <w:pPr>
              <w:pStyle w:val="Loendilik"/>
              <w:numPr>
                <w:ilvl w:val="0"/>
                <w:numId w:val="9"/>
              </w:numPr>
              <w:rPr>
                <w:rFonts w:cs="Arial"/>
                <w:noProof/>
                <w:sz w:val="22"/>
                <w:szCs w:val="22"/>
                <w:lang w:val="et-EE"/>
              </w:rPr>
            </w:pPr>
            <w:r w:rsidRPr="007A5275">
              <w:rPr>
                <w:rFonts w:cs="Arial"/>
                <w:noProof/>
                <w:sz w:val="22"/>
                <w:szCs w:val="22"/>
                <w:lang w:val="et-EE"/>
              </w:rPr>
              <w:t>toetatud projektide arv strateegia perioodi jooksul – 50</w:t>
            </w:r>
          </w:p>
          <w:p w14:paraId="0DDD3E40" w14:textId="77777777" w:rsidR="00A132A5" w:rsidRPr="007A5275" w:rsidRDefault="00A132A5" w:rsidP="00294E6C">
            <w:pPr>
              <w:rPr>
                <w:rFonts w:cs="Arial"/>
                <w:b/>
                <w:noProof/>
              </w:rPr>
            </w:pPr>
            <w:r w:rsidRPr="007A5275">
              <w:rPr>
                <w:rFonts w:cs="Arial"/>
                <w:b/>
                <w:noProof/>
              </w:rPr>
              <w:t>Tulemusmõõdik ja soovitud sihttase:</w:t>
            </w:r>
          </w:p>
          <w:p w14:paraId="7BA9E541" w14:textId="77777777" w:rsidR="00A132A5" w:rsidRPr="007A5275" w:rsidRDefault="000D6BE9" w:rsidP="00294E6C">
            <w:pPr>
              <w:pStyle w:val="Loendilik"/>
              <w:numPr>
                <w:ilvl w:val="0"/>
                <w:numId w:val="10"/>
              </w:numPr>
              <w:rPr>
                <w:rFonts w:eastAsia="Times New Roman" w:cs="Times New Roman"/>
                <w:color w:val="000000"/>
                <w:lang w:val="et-EE" w:eastAsia="et-EE"/>
              </w:rPr>
            </w:pPr>
            <w:r w:rsidRPr="007A5275">
              <w:rPr>
                <w:rFonts w:eastAsia="Times New Roman" w:cs="Times New Roman"/>
                <w:color w:val="000000"/>
                <w:sz w:val="22"/>
                <w:szCs w:val="22"/>
                <w:lang w:val="et-EE" w:eastAsia="et-EE"/>
              </w:rPr>
              <w:t>osalejate rahulolu sündmustega on vähemalt 4 punkti 5-palli-süsteemis.</w:t>
            </w:r>
          </w:p>
        </w:tc>
      </w:tr>
      <w:tr w:rsidR="00A132A5" w:rsidRPr="007A5275" w14:paraId="348B76CB"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316616F5" w14:textId="77777777" w:rsidR="00A132A5" w:rsidRPr="007A5275" w:rsidRDefault="00A132A5" w:rsidP="00294E6C">
            <w:pPr>
              <w:spacing w:after="0" w:line="240" w:lineRule="auto"/>
              <w:rPr>
                <w:rFonts w:eastAsia="Times New Roman" w:cs="Times New Roman"/>
                <w:color w:val="000000"/>
                <w:lang w:eastAsia="et-EE"/>
              </w:rPr>
            </w:pPr>
            <w:r w:rsidRPr="007A5275">
              <w:rPr>
                <w:rFonts w:eastAsia="Times New Roman" w:cs="Times New Roman"/>
                <w:color w:val="000000"/>
                <w:lang w:eastAsia="et-EE"/>
              </w:rPr>
              <w:t xml:space="preserve">11.Projektitoetuse taotluste hindamiskriteeriumid </w:t>
            </w:r>
          </w:p>
        </w:tc>
      </w:tr>
      <w:tr w:rsidR="00A132A5" w:rsidRPr="007A5275" w14:paraId="28FBA0ED" w14:textId="77777777" w:rsidTr="00294E6C">
        <w:trPr>
          <w:trHeight w:val="141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65590FA7" w14:textId="77777777" w:rsidR="00A132A5" w:rsidRPr="007A5275" w:rsidRDefault="00A132A5" w:rsidP="00294E6C">
            <w:pPr>
              <w:rPr>
                <w:rFonts w:cs="Arial"/>
                <w:b/>
                <w:noProof/>
              </w:rPr>
            </w:pPr>
            <w:r w:rsidRPr="007A5275">
              <w:rPr>
                <w:rFonts w:eastAsia="Times New Roman" w:cs="Times New Roman"/>
                <w:color w:val="000000"/>
                <w:lang w:eastAsia="et-EE"/>
              </w:rPr>
              <w:t> </w:t>
            </w:r>
            <w:r w:rsidRPr="007A5275">
              <w:rPr>
                <w:rFonts w:cs="Arial"/>
                <w:noProof/>
              </w:rPr>
              <w:t xml:space="preserve"> </w:t>
            </w:r>
            <w:r w:rsidRPr="007A5275">
              <w:rPr>
                <w:rFonts w:cs="Arial"/>
                <w:b/>
                <w:noProof/>
              </w:rPr>
              <w:t>Taotluste hindamise aluseks on kriteeriumid, mis jagunevad kaheks plokiks:</w:t>
            </w:r>
          </w:p>
          <w:p w14:paraId="24BA6591" w14:textId="77777777" w:rsidR="00A132A5" w:rsidRPr="007A5275" w:rsidRDefault="00A132A5" w:rsidP="00294E6C">
            <w:pPr>
              <w:pStyle w:val="Loendilik"/>
              <w:numPr>
                <w:ilvl w:val="0"/>
                <w:numId w:val="11"/>
              </w:numPr>
              <w:jc w:val="both"/>
              <w:rPr>
                <w:rFonts w:cs="Arial"/>
                <w:noProof/>
                <w:sz w:val="22"/>
                <w:szCs w:val="22"/>
                <w:lang w:val="et-EE"/>
              </w:rPr>
            </w:pPr>
            <w:r w:rsidRPr="007A5275">
              <w:rPr>
                <w:rFonts w:cs="Arial"/>
                <w:noProof/>
                <w:sz w:val="22"/>
                <w:szCs w:val="22"/>
                <w:lang w:val="et-EE"/>
              </w:rPr>
              <w:t xml:space="preserve">Projekti </w:t>
            </w:r>
            <w:r w:rsidRPr="007A5275">
              <w:rPr>
                <w:rFonts w:cs="Arial"/>
                <w:b/>
                <w:noProof/>
                <w:sz w:val="22"/>
                <w:szCs w:val="22"/>
                <w:lang w:val="et-EE"/>
              </w:rPr>
              <w:t>mõjuga</w:t>
            </w:r>
            <w:r w:rsidRPr="007A5275">
              <w:rPr>
                <w:rFonts w:cs="Arial"/>
                <w:noProof/>
                <w:sz w:val="22"/>
                <w:szCs w:val="22"/>
                <w:lang w:val="et-EE"/>
              </w:rPr>
              <w:t xml:space="preserve"> seotud kriteeriumid (osakaal 75% mõlemast plokist):</w:t>
            </w:r>
          </w:p>
          <w:p w14:paraId="1DD734BC" w14:textId="77777777" w:rsidR="00A132A5" w:rsidRPr="007A5275" w:rsidRDefault="00A132A5" w:rsidP="00294E6C">
            <w:pPr>
              <w:pStyle w:val="Loendilik"/>
              <w:numPr>
                <w:ilvl w:val="1"/>
                <w:numId w:val="11"/>
              </w:numPr>
              <w:jc w:val="both"/>
              <w:rPr>
                <w:rFonts w:cs="Arial"/>
                <w:noProof/>
                <w:sz w:val="22"/>
                <w:szCs w:val="22"/>
                <w:lang w:val="et-EE"/>
              </w:rPr>
            </w:pPr>
            <w:r w:rsidRPr="007A5275">
              <w:rPr>
                <w:rFonts w:cs="Arial"/>
                <w:noProof/>
                <w:sz w:val="22"/>
                <w:szCs w:val="22"/>
                <w:lang w:val="et-EE"/>
              </w:rPr>
              <w:t>Projekti põhjendatus ja seos Nelja Valla Kogu strateegiaga (20%);</w:t>
            </w:r>
          </w:p>
          <w:p w14:paraId="640EC798" w14:textId="77777777" w:rsidR="00A132A5" w:rsidRPr="007A5275" w:rsidRDefault="00A132A5" w:rsidP="00294E6C">
            <w:pPr>
              <w:pStyle w:val="Loendilik"/>
              <w:numPr>
                <w:ilvl w:val="1"/>
                <w:numId w:val="11"/>
              </w:numPr>
              <w:jc w:val="both"/>
              <w:rPr>
                <w:rFonts w:cs="Arial"/>
                <w:noProof/>
                <w:sz w:val="22"/>
                <w:szCs w:val="22"/>
                <w:lang w:val="et-EE"/>
              </w:rPr>
            </w:pPr>
            <w:r w:rsidRPr="007A5275">
              <w:rPr>
                <w:rFonts w:cs="Arial"/>
                <w:noProof/>
                <w:sz w:val="22"/>
                <w:szCs w:val="22"/>
                <w:lang w:val="et-EE"/>
              </w:rPr>
              <w:t>Projekti seos kohaliku omavalitsuse, kandi või küla arengukavaga (10%);</w:t>
            </w:r>
          </w:p>
          <w:p w14:paraId="260BEE02" w14:textId="77777777" w:rsidR="00A132A5" w:rsidRPr="007A5275" w:rsidRDefault="00A132A5" w:rsidP="00294E6C">
            <w:pPr>
              <w:pStyle w:val="Loendilik"/>
              <w:numPr>
                <w:ilvl w:val="1"/>
                <w:numId w:val="11"/>
              </w:numPr>
              <w:jc w:val="both"/>
              <w:rPr>
                <w:rFonts w:cs="Arial"/>
                <w:noProof/>
                <w:sz w:val="22"/>
                <w:szCs w:val="22"/>
                <w:lang w:val="et-EE"/>
              </w:rPr>
            </w:pPr>
            <w:r w:rsidRPr="007A5275">
              <w:rPr>
                <w:rFonts w:cs="Arial"/>
                <w:noProof/>
                <w:sz w:val="22"/>
                <w:szCs w:val="22"/>
                <w:lang w:val="et-EE"/>
              </w:rPr>
              <w:t>Projekti panus meetme indikaatorite sihttasemete täitmisesse (10%);</w:t>
            </w:r>
          </w:p>
          <w:p w14:paraId="32B689C2" w14:textId="77777777" w:rsidR="00A132A5" w:rsidRPr="007A5275" w:rsidRDefault="00A132A5" w:rsidP="00294E6C">
            <w:pPr>
              <w:pStyle w:val="Loendilik"/>
              <w:numPr>
                <w:ilvl w:val="1"/>
                <w:numId w:val="11"/>
              </w:numPr>
              <w:jc w:val="both"/>
              <w:rPr>
                <w:rFonts w:cs="Arial"/>
                <w:noProof/>
                <w:sz w:val="22"/>
                <w:szCs w:val="22"/>
                <w:lang w:val="et-EE"/>
              </w:rPr>
            </w:pPr>
            <w:r w:rsidRPr="007A5275">
              <w:rPr>
                <w:rFonts w:cs="Arial"/>
                <w:noProof/>
                <w:sz w:val="22"/>
                <w:szCs w:val="22"/>
                <w:lang w:val="et-EE"/>
              </w:rPr>
              <w:t>Projekti jätkusuutlikkus (15%);</w:t>
            </w:r>
          </w:p>
          <w:p w14:paraId="1FCFB8D0" w14:textId="77777777" w:rsidR="00A132A5" w:rsidRPr="007A5275" w:rsidRDefault="00A132A5" w:rsidP="00294E6C">
            <w:pPr>
              <w:pStyle w:val="Loendilik"/>
              <w:numPr>
                <w:ilvl w:val="1"/>
                <w:numId w:val="11"/>
              </w:numPr>
              <w:jc w:val="both"/>
              <w:rPr>
                <w:rFonts w:cs="Arial"/>
                <w:noProof/>
                <w:sz w:val="22"/>
                <w:szCs w:val="22"/>
                <w:lang w:val="et-EE"/>
              </w:rPr>
            </w:pPr>
            <w:r w:rsidRPr="007A5275">
              <w:rPr>
                <w:rFonts w:cs="Arial"/>
                <w:noProof/>
                <w:sz w:val="22"/>
                <w:szCs w:val="22"/>
                <w:lang w:val="et-EE"/>
              </w:rPr>
              <w:t>Koostöö (10%);</w:t>
            </w:r>
          </w:p>
          <w:p w14:paraId="7EF1B529" w14:textId="77777777" w:rsidR="00A132A5" w:rsidRPr="007A5275" w:rsidRDefault="00A132A5" w:rsidP="00294E6C">
            <w:pPr>
              <w:pStyle w:val="Loendilik"/>
              <w:numPr>
                <w:ilvl w:val="1"/>
                <w:numId w:val="11"/>
              </w:numPr>
              <w:jc w:val="both"/>
              <w:rPr>
                <w:rFonts w:cs="Arial"/>
                <w:noProof/>
                <w:sz w:val="22"/>
                <w:szCs w:val="22"/>
                <w:lang w:val="et-EE"/>
              </w:rPr>
            </w:pPr>
            <w:r w:rsidRPr="007A5275">
              <w:rPr>
                <w:rFonts w:cs="Arial"/>
                <w:noProof/>
                <w:sz w:val="22"/>
                <w:szCs w:val="22"/>
                <w:lang w:val="et-EE"/>
              </w:rPr>
              <w:t>Uuenduslikkus (10%).</w:t>
            </w:r>
          </w:p>
          <w:p w14:paraId="19BFEF8A" w14:textId="77777777" w:rsidR="00A132A5" w:rsidRPr="007A5275" w:rsidRDefault="00A132A5" w:rsidP="00294E6C">
            <w:pPr>
              <w:rPr>
                <w:rFonts w:cs="Arial"/>
                <w:noProof/>
              </w:rPr>
            </w:pPr>
          </w:p>
          <w:p w14:paraId="73554E88" w14:textId="77777777" w:rsidR="00A132A5" w:rsidRPr="007A5275" w:rsidRDefault="00A132A5" w:rsidP="00294E6C">
            <w:pPr>
              <w:pStyle w:val="Loendilik"/>
              <w:numPr>
                <w:ilvl w:val="0"/>
                <w:numId w:val="11"/>
              </w:numPr>
              <w:jc w:val="both"/>
              <w:rPr>
                <w:rFonts w:cs="Arial"/>
                <w:noProof/>
                <w:sz w:val="22"/>
                <w:szCs w:val="22"/>
                <w:lang w:val="et-EE"/>
              </w:rPr>
            </w:pPr>
            <w:r w:rsidRPr="007A5275">
              <w:rPr>
                <w:rFonts w:cs="Arial"/>
                <w:noProof/>
                <w:sz w:val="22"/>
                <w:szCs w:val="22"/>
                <w:lang w:val="et-EE"/>
              </w:rPr>
              <w:t xml:space="preserve">Projekti </w:t>
            </w:r>
            <w:r w:rsidRPr="007A5275">
              <w:rPr>
                <w:rFonts w:cs="Arial"/>
                <w:b/>
                <w:noProof/>
                <w:sz w:val="22"/>
                <w:szCs w:val="22"/>
                <w:lang w:val="et-EE"/>
              </w:rPr>
              <w:t>kvaliteediga</w:t>
            </w:r>
            <w:r w:rsidRPr="007A5275">
              <w:rPr>
                <w:rFonts w:cs="Arial"/>
                <w:noProof/>
                <w:sz w:val="22"/>
                <w:szCs w:val="22"/>
                <w:lang w:val="et-EE"/>
              </w:rPr>
              <w:t xml:space="preserve"> seotud kriteeriumid (osakaal 25% mõlemast plokist):</w:t>
            </w:r>
          </w:p>
          <w:p w14:paraId="2AB2A999" w14:textId="77777777" w:rsidR="00A132A5" w:rsidRPr="007A5275" w:rsidRDefault="00A132A5" w:rsidP="00294E6C">
            <w:pPr>
              <w:pStyle w:val="Loendilik"/>
              <w:numPr>
                <w:ilvl w:val="1"/>
                <w:numId w:val="11"/>
              </w:numPr>
              <w:jc w:val="both"/>
              <w:rPr>
                <w:rFonts w:cs="Arial"/>
                <w:noProof/>
                <w:sz w:val="22"/>
                <w:szCs w:val="22"/>
                <w:lang w:val="et-EE"/>
              </w:rPr>
            </w:pPr>
            <w:r w:rsidRPr="007A5275">
              <w:rPr>
                <w:rFonts w:cs="Arial"/>
                <w:noProof/>
                <w:sz w:val="22"/>
                <w:szCs w:val="22"/>
                <w:lang w:val="et-EE"/>
              </w:rPr>
              <w:t>Projekti üldine kvaliteet (10%);</w:t>
            </w:r>
          </w:p>
          <w:p w14:paraId="23212588" w14:textId="77777777" w:rsidR="00A132A5" w:rsidRPr="007A5275" w:rsidRDefault="00A132A5" w:rsidP="00294E6C">
            <w:pPr>
              <w:pStyle w:val="Loendilik"/>
              <w:numPr>
                <w:ilvl w:val="1"/>
                <w:numId w:val="11"/>
              </w:numPr>
              <w:jc w:val="both"/>
              <w:rPr>
                <w:rFonts w:cs="Arial"/>
                <w:noProof/>
                <w:sz w:val="22"/>
                <w:szCs w:val="22"/>
                <w:lang w:val="et-EE"/>
              </w:rPr>
            </w:pPr>
            <w:r w:rsidRPr="007A5275">
              <w:rPr>
                <w:rFonts w:cs="Arial"/>
                <w:noProof/>
                <w:sz w:val="22"/>
                <w:szCs w:val="22"/>
                <w:lang w:val="et-EE"/>
              </w:rPr>
              <w:t>Projekti kulude põhjendatus (10%);</w:t>
            </w:r>
          </w:p>
          <w:p w14:paraId="49A988CE" w14:textId="77777777" w:rsidR="00A132A5" w:rsidRPr="007A5275" w:rsidRDefault="00A132A5" w:rsidP="00294E6C">
            <w:pPr>
              <w:pStyle w:val="Loendilik"/>
              <w:numPr>
                <w:ilvl w:val="1"/>
                <w:numId w:val="11"/>
              </w:numPr>
              <w:jc w:val="both"/>
              <w:rPr>
                <w:rFonts w:cs="Arial"/>
                <w:noProof/>
                <w:sz w:val="22"/>
                <w:szCs w:val="22"/>
                <w:lang w:val="et-EE"/>
              </w:rPr>
            </w:pPr>
            <w:r w:rsidRPr="007A5275">
              <w:rPr>
                <w:rFonts w:cs="Arial"/>
                <w:noProof/>
                <w:sz w:val="22"/>
                <w:szCs w:val="22"/>
                <w:lang w:val="et-EE"/>
              </w:rPr>
              <w:t>Taotleja taust, sh varasem kogemus ja olemasolevad kompetentsid, võimekus projekti ellu viimiseks (5%).</w:t>
            </w:r>
          </w:p>
          <w:p w14:paraId="07F21BBC" w14:textId="77777777" w:rsidR="00A132A5" w:rsidRPr="007A5275" w:rsidRDefault="00A132A5" w:rsidP="00294E6C">
            <w:pPr>
              <w:rPr>
                <w:rFonts w:cs="Arial"/>
                <w:noProof/>
              </w:rPr>
            </w:pPr>
          </w:p>
          <w:p w14:paraId="6E1EA70D" w14:textId="77777777" w:rsidR="00A132A5" w:rsidRPr="007A5275" w:rsidRDefault="00A132A5" w:rsidP="00294E6C">
            <w:pPr>
              <w:rPr>
                <w:rFonts w:eastAsia="Times New Roman" w:cs="Times New Roman"/>
                <w:color w:val="000000"/>
                <w:lang w:eastAsia="et-EE"/>
              </w:rPr>
            </w:pPr>
            <w:r w:rsidRPr="007A5275">
              <w:rPr>
                <w:rFonts w:cs="Arial"/>
                <w:noProof/>
              </w:rPr>
              <w:t>Taotlusi hinnatakse 4-palli süsteemis, kus 4 tähistab väga head, 3 rahuldavat, 2 kesist ja 1 puudulikku. Hindamiskriteeriume on täpsemalt kirjeldatud MTÜ Nelja Valla Kogu strateegias 2015-2020 tabel nr 7 ja dokumendis „MTÜ Nelja Valla Kogu Le</w:t>
            </w:r>
            <w:r w:rsidR="00FD3B28" w:rsidRPr="007A5275">
              <w:rPr>
                <w:rFonts w:cs="Arial"/>
                <w:noProof/>
              </w:rPr>
              <w:t>a</w:t>
            </w:r>
            <w:r w:rsidRPr="007A5275">
              <w:rPr>
                <w:rFonts w:cs="Arial"/>
                <w:noProof/>
              </w:rPr>
              <w:t>der Meetme raames antava projektitaotluste menetlemise ja hindamise kord“.</w:t>
            </w:r>
          </w:p>
        </w:tc>
      </w:tr>
      <w:tr w:rsidR="00A132A5" w:rsidRPr="007A5275" w14:paraId="281D0997" w14:textId="77777777" w:rsidTr="00294E6C">
        <w:trPr>
          <w:trHeight w:val="270"/>
        </w:trPr>
        <w:tc>
          <w:tcPr>
            <w:tcW w:w="2134" w:type="pct"/>
            <w:tcBorders>
              <w:top w:val="nil"/>
              <w:left w:val="nil"/>
              <w:bottom w:val="nil"/>
              <w:right w:val="nil"/>
            </w:tcBorders>
            <w:shd w:val="clear" w:color="auto" w:fill="auto"/>
            <w:noWrap/>
            <w:hideMark/>
          </w:tcPr>
          <w:p w14:paraId="585959AC" w14:textId="77777777" w:rsidR="00A132A5" w:rsidRPr="007A5275" w:rsidRDefault="00A132A5" w:rsidP="00294E6C">
            <w:pPr>
              <w:spacing w:after="0" w:line="240" w:lineRule="auto"/>
              <w:rPr>
                <w:rFonts w:eastAsia="Times New Roman" w:cs="Times New Roman"/>
                <w:color w:val="000000"/>
                <w:lang w:eastAsia="et-EE"/>
              </w:rPr>
            </w:pPr>
          </w:p>
        </w:tc>
        <w:tc>
          <w:tcPr>
            <w:tcW w:w="2102" w:type="pct"/>
            <w:tcBorders>
              <w:top w:val="nil"/>
              <w:left w:val="nil"/>
              <w:bottom w:val="nil"/>
              <w:right w:val="nil"/>
            </w:tcBorders>
            <w:shd w:val="clear" w:color="auto" w:fill="auto"/>
            <w:noWrap/>
            <w:hideMark/>
          </w:tcPr>
          <w:p w14:paraId="76D1F073" w14:textId="77777777" w:rsidR="00A132A5" w:rsidRPr="007A5275" w:rsidRDefault="00A132A5" w:rsidP="00294E6C">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6F026B3A" w14:textId="77777777" w:rsidR="00A132A5" w:rsidRPr="007A5275" w:rsidRDefault="00A132A5" w:rsidP="00294E6C">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4AD88F39" w14:textId="77777777" w:rsidR="00A132A5" w:rsidRPr="007A5275" w:rsidRDefault="00A132A5" w:rsidP="00294E6C">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70FB60FC" w14:textId="77777777" w:rsidR="00A132A5" w:rsidRPr="007A5275" w:rsidRDefault="00A132A5" w:rsidP="00294E6C">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76C4973C" w14:textId="77777777" w:rsidR="00A132A5" w:rsidRPr="007A5275" w:rsidRDefault="00A132A5" w:rsidP="00294E6C">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6EEAC404" w14:textId="77777777" w:rsidR="00A132A5" w:rsidRPr="007A5275" w:rsidRDefault="00A132A5" w:rsidP="00294E6C">
            <w:pPr>
              <w:spacing w:after="0" w:line="240" w:lineRule="auto"/>
              <w:rPr>
                <w:rFonts w:eastAsia="Times New Roman" w:cs="Times New Roman"/>
                <w:sz w:val="20"/>
                <w:szCs w:val="20"/>
                <w:lang w:eastAsia="et-EE"/>
              </w:rPr>
            </w:pPr>
          </w:p>
        </w:tc>
        <w:tc>
          <w:tcPr>
            <w:tcW w:w="110" w:type="pct"/>
            <w:tcBorders>
              <w:top w:val="nil"/>
              <w:left w:val="nil"/>
              <w:bottom w:val="nil"/>
              <w:right w:val="nil"/>
            </w:tcBorders>
            <w:shd w:val="clear" w:color="auto" w:fill="auto"/>
            <w:noWrap/>
            <w:hideMark/>
          </w:tcPr>
          <w:p w14:paraId="3F6ECAF5" w14:textId="77777777" w:rsidR="00A132A5" w:rsidRPr="007A5275" w:rsidRDefault="00A132A5" w:rsidP="00294E6C">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186CFC70" w14:textId="77777777" w:rsidR="00A132A5" w:rsidRPr="007A5275" w:rsidRDefault="00A132A5" w:rsidP="00294E6C">
            <w:pPr>
              <w:spacing w:after="0" w:line="240" w:lineRule="auto"/>
              <w:rPr>
                <w:rFonts w:eastAsia="Times New Roman" w:cs="Times New Roman"/>
                <w:sz w:val="20"/>
                <w:szCs w:val="20"/>
                <w:lang w:eastAsia="et-EE"/>
              </w:rPr>
            </w:pPr>
          </w:p>
        </w:tc>
      </w:tr>
      <w:tr w:rsidR="00A132A5" w:rsidRPr="007A5275" w14:paraId="7DC26E5D" w14:textId="77777777" w:rsidTr="00294E6C">
        <w:trPr>
          <w:trHeight w:val="285"/>
        </w:trPr>
        <w:tc>
          <w:tcPr>
            <w:tcW w:w="2134" w:type="pct"/>
            <w:tcBorders>
              <w:top w:val="single" w:sz="4" w:space="0" w:color="auto"/>
              <w:left w:val="nil"/>
              <w:bottom w:val="nil"/>
              <w:right w:val="nil"/>
            </w:tcBorders>
            <w:shd w:val="clear" w:color="000000" w:fill="FFFFFF"/>
            <w:noWrap/>
            <w:hideMark/>
          </w:tcPr>
          <w:p w14:paraId="7D05A278" w14:textId="77777777" w:rsidR="00A132A5" w:rsidRPr="007A5275" w:rsidRDefault="00A132A5" w:rsidP="00294E6C">
            <w:pPr>
              <w:spacing w:after="0" w:line="240" w:lineRule="auto"/>
              <w:rPr>
                <w:rFonts w:eastAsia="Times New Roman" w:cs="Times New Roman"/>
                <w:color w:val="000000"/>
                <w:sz w:val="18"/>
                <w:szCs w:val="18"/>
                <w:lang w:eastAsia="et-EE"/>
              </w:rPr>
            </w:pPr>
            <w:r w:rsidRPr="007A5275">
              <w:rPr>
                <w:rFonts w:eastAsia="Times New Roman" w:cs="Times New Roman"/>
                <w:color w:val="000000"/>
                <w:sz w:val="18"/>
                <w:szCs w:val="18"/>
                <w:lang w:eastAsia="et-EE"/>
              </w:rPr>
              <w:lastRenderedPageBreak/>
              <w:t>¹</w:t>
            </w:r>
          </w:p>
        </w:tc>
        <w:tc>
          <w:tcPr>
            <w:tcW w:w="2211" w:type="pct"/>
            <w:gridSpan w:val="2"/>
            <w:tcBorders>
              <w:top w:val="single" w:sz="4" w:space="0" w:color="auto"/>
              <w:left w:val="nil"/>
              <w:bottom w:val="nil"/>
              <w:right w:val="nil"/>
            </w:tcBorders>
            <w:shd w:val="clear" w:color="000000" w:fill="FFFFFF"/>
            <w:noWrap/>
            <w:vAlign w:val="center"/>
            <w:hideMark/>
          </w:tcPr>
          <w:p w14:paraId="5C36D3C6" w14:textId="77777777" w:rsidR="00A132A5" w:rsidRPr="007A5275" w:rsidRDefault="00A132A5" w:rsidP="00294E6C">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Täidetakse iga strateegia meetme kohta eraldi</w:t>
            </w:r>
          </w:p>
        </w:tc>
        <w:tc>
          <w:tcPr>
            <w:tcW w:w="109" w:type="pct"/>
            <w:tcBorders>
              <w:top w:val="nil"/>
              <w:left w:val="nil"/>
              <w:bottom w:val="nil"/>
              <w:right w:val="nil"/>
            </w:tcBorders>
            <w:shd w:val="clear" w:color="000000" w:fill="FFFFFF"/>
            <w:noWrap/>
            <w:hideMark/>
          </w:tcPr>
          <w:p w14:paraId="3E672846" w14:textId="77777777" w:rsidR="00A132A5" w:rsidRPr="007A5275" w:rsidRDefault="00A132A5" w:rsidP="00294E6C">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c>
          <w:tcPr>
            <w:tcW w:w="109" w:type="pct"/>
            <w:tcBorders>
              <w:top w:val="nil"/>
              <w:left w:val="nil"/>
              <w:bottom w:val="nil"/>
              <w:right w:val="nil"/>
            </w:tcBorders>
            <w:shd w:val="clear" w:color="000000" w:fill="FFFFFF"/>
            <w:noWrap/>
            <w:hideMark/>
          </w:tcPr>
          <w:p w14:paraId="1680DB00" w14:textId="77777777" w:rsidR="00A132A5" w:rsidRPr="007A5275" w:rsidRDefault="00A132A5" w:rsidP="00294E6C">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c>
          <w:tcPr>
            <w:tcW w:w="109" w:type="pct"/>
            <w:tcBorders>
              <w:top w:val="nil"/>
              <w:left w:val="nil"/>
              <w:bottom w:val="nil"/>
              <w:right w:val="nil"/>
            </w:tcBorders>
            <w:shd w:val="clear" w:color="000000" w:fill="FFFFFF"/>
            <w:noWrap/>
            <w:hideMark/>
          </w:tcPr>
          <w:p w14:paraId="685E531C" w14:textId="77777777" w:rsidR="00A132A5" w:rsidRPr="007A5275" w:rsidRDefault="00A132A5" w:rsidP="00294E6C">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c>
          <w:tcPr>
            <w:tcW w:w="109" w:type="pct"/>
            <w:tcBorders>
              <w:top w:val="nil"/>
              <w:left w:val="nil"/>
              <w:bottom w:val="nil"/>
              <w:right w:val="nil"/>
            </w:tcBorders>
            <w:shd w:val="clear" w:color="000000" w:fill="FFFFFF"/>
            <w:noWrap/>
            <w:hideMark/>
          </w:tcPr>
          <w:p w14:paraId="05A73749" w14:textId="77777777" w:rsidR="00A132A5" w:rsidRPr="007A5275" w:rsidRDefault="00A132A5" w:rsidP="00294E6C">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c>
          <w:tcPr>
            <w:tcW w:w="110" w:type="pct"/>
            <w:tcBorders>
              <w:top w:val="nil"/>
              <w:left w:val="nil"/>
              <w:bottom w:val="nil"/>
              <w:right w:val="nil"/>
            </w:tcBorders>
            <w:shd w:val="clear" w:color="000000" w:fill="FFFFFF"/>
            <w:noWrap/>
            <w:hideMark/>
          </w:tcPr>
          <w:p w14:paraId="7B00A463" w14:textId="77777777" w:rsidR="00A132A5" w:rsidRPr="007A5275" w:rsidRDefault="00A132A5" w:rsidP="00294E6C">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c>
          <w:tcPr>
            <w:tcW w:w="109" w:type="pct"/>
            <w:tcBorders>
              <w:top w:val="nil"/>
              <w:left w:val="nil"/>
              <w:bottom w:val="nil"/>
              <w:right w:val="nil"/>
            </w:tcBorders>
            <w:shd w:val="clear" w:color="000000" w:fill="FFFFFF"/>
            <w:noWrap/>
            <w:hideMark/>
          </w:tcPr>
          <w:p w14:paraId="62AF64FF" w14:textId="77777777" w:rsidR="00A132A5" w:rsidRPr="007A5275" w:rsidRDefault="00A132A5" w:rsidP="00294E6C">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r>
      <w:tr w:rsidR="00A132A5" w:rsidRPr="007A5275" w14:paraId="65659C7D" w14:textId="77777777" w:rsidTr="00294E6C">
        <w:trPr>
          <w:trHeight w:val="780"/>
        </w:trPr>
        <w:tc>
          <w:tcPr>
            <w:tcW w:w="2134" w:type="pct"/>
            <w:tcBorders>
              <w:top w:val="nil"/>
              <w:left w:val="nil"/>
              <w:bottom w:val="nil"/>
              <w:right w:val="nil"/>
            </w:tcBorders>
            <w:shd w:val="clear" w:color="000000" w:fill="FFFFFF"/>
            <w:noWrap/>
            <w:hideMark/>
          </w:tcPr>
          <w:p w14:paraId="2710DCEC" w14:textId="77777777" w:rsidR="00A132A5" w:rsidRPr="007A5275" w:rsidRDefault="00A132A5" w:rsidP="00294E6C">
            <w:pPr>
              <w:spacing w:after="0" w:line="240" w:lineRule="auto"/>
              <w:rPr>
                <w:rFonts w:eastAsia="Times New Roman" w:cs="Times New Roman"/>
                <w:color w:val="000000"/>
                <w:sz w:val="18"/>
                <w:szCs w:val="18"/>
                <w:lang w:eastAsia="et-EE"/>
              </w:rPr>
            </w:pPr>
            <w:r w:rsidRPr="007A5275">
              <w:rPr>
                <w:rFonts w:eastAsia="Times New Roman" w:cs="Times New Roman"/>
                <w:color w:val="000000"/>
                <w:sz w:val="18"/>
                <w:szCs w:val="18"/>
                <w:lang w:eastAsia="et-EE"/>
              </w:rPr>
              <w:t>²</w:t>
            </w:r>
          </w:p>
        </w:tc>
        <w:tc>
          <w:tcPr>
            <w:tcW w:w="2866" w:type="pct"/>
            <w:gridSpan w:val="8"/>
            <w:tcBorders>
              <w:top w:val="nil"/>
              <w:left w:val="nil"/>
              <w:bottom w:val="nil"/>
              <w:right w:val="nil"/>
            </w:tcBorders>
            <w:shd w:val="clear" w:color="000000" w:fill="FFFFFF"/>
            <w:hideMark/>
          </w:tcPr>
          <w:p w14:paraId="4CF81C61" w14:textId="77777777" w:rsidR="00A132A5" w:rsidRPr="007A5275" w:rsidRDefault="00A132A5" w:rsidP="00294E6C">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xml:space="preserve">Märgitakse, kas strateegia meede võib sisaldada ka investeeringuid. Eraldi tuuakse välja investeeringud , mille puhul on lubatud taotleda projektitoetust mitmes etapis ja võtta investeering sihtotstarbelisse kasutusse § 42 lõike 7 punktis 1 sätestatust pikema tähtaja jooksul.  Märgitakse, kas strateegia meede võib sisaldada ka investeeringuid. </w:t>
            </w:r>
          </w:p>
        </w:tc>
      </w:tr>
      <w:tr w:rsidR="00A132A5" w:rsidRPr="007A5275" w14:paraId="6BE49CD8" w14:textId="77777777" w:rsidTr="00294E6C">
        <w:trPr>
          <w:trHeight w:val="330"/>
        </w:trPr>
        <w:tc>
          <w:tcPr>
            <w:tcW w:w="4563" w:type="pct"/>
            <w:gridSpan w:val="5"/>
            <w:tcBorders>
              <w:top w:val="nil"/>
              <w:left w:val="nil"/>
              <w:bottom w:val="nil"/>
              <w:right w:val="nil"/>
            </w:tcBorders>
            <w:shd w:val="clear" w:color="000000" w:fill="FFFFFF"/>
            <w:noWrap/>
            <w:hideMark/>
          </w:tcPr>
          <w:p w14:paraId="06314CCB" w14:textId="77777777" w:rsidR="00A132A5" w:rsidRPr="007A5275" w:rsidRDefault="00A132A5" w:rsidP="00294E6C">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vertAlign w:val="superscript"/>
                <w:lang w:eastAsia="et-EE"/>
              </w:rPr>
              <w:t xml:space="preserve">3      </w:t>
            </w:r>
            <w:r w:rsidRPr="007A5275">
              <w:rPr>
                <w:rFonts w:eastAsia="Times New Roman" w:cs="Times New Roman"/>
                <w:color w:val="000000"/>
                <w:sz w:val="16"/>
                <w:szCs w:val="16"/>
                <w:lang w:eastAsia="et-EE"/>
              </w:rPr>
              <w:t>Euroopa Parlamendi ja nõukogu määrus (EL) nr 1305/2013</w:t>
            </w:r>
          </w:p>
        </w:tc>
        <w:tc>
          <w:tcPr>
            <w:tcW w:w="109" w:type="pct"/>
            <w:tcBorders>
              <w:top w:val="nil"/>
              <w:left w:val="nil"/>
              <w:bottom w:val="nil"/>
              <w:right w:val="nil"/>
            </w:tcBorders>
            <w:shd w:val="clear" w:color="000000" w:fill="FFFFFF"/>
            <w:noWrap/>
            <w:hideMark/>
          </w:tcPr>
          <w:p w14:paraId="2C5BB202" w14:textId="77777777" w:rsidR="00A132A5" w:rsidRPr="007A5275" w:rsidRDefault="00A132A5" w:rsidP="00294E6C">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c>
          <w:tcPr>
            <w:tcW w:w="109" w:type="pct"/>
            <w:tcBorders>
              <w:top w:val="nil"/>
              <w:left w:val="nil"/>
              <w:bottom w:val="nil"/>
              <w:right w:val="nil"/>
            </w:tcBorders>
            <w:shd w:val="clear" w:color="000000" w:fill="FFFFFF"/>
            <w:noWrap/>
            <w:hideMark/>
          </w:tcPr>
          <w:p w14:paraId="54C8BB49" w14:textId="77777777" w:rsidR="00A132A5" w:rsidRPr="007A5275" w:rsidRDefault="00A132A5" w:rsidP="00294E6C">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c>
          <w:tcPr>
            <w:tcW w:w="110" w:type="pct"/>
            <w:tcBorders>
              <w:top w:val="nil"/>
              <w:left w:val="nil"/>
              <w:bottom w:val="nil"/>
              <w:right w:val="nil"/>
            </w:tcBorders>
            <w:shd w:val="clear" w:color="000000" w:fill="FFFFFF"/>
            <w:noWrap/>
            <w:hideMark/>
          </w:tcPr>
          <w:p w14:paraId="33C5C114" w14:textId="77777777" w:rsidR="00A132A5" w:rsidRPr="007A5275" w:rsidRDefault="00A132A5" w:rsidP="00294E6C">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c>
          <w:tcPr>
            <w:tcW w:w="109" w:type="pct"/>
            <w:tcBorders>
              <w:top w:val="nil"/>
              <w:left w:val="nil"/>
              <w:bottom w:val="nil"/>
              <w:right w:val="nil"/>
            </w:tcBorders>
            <w:shd w:val="clear" w:color="000000" w:fill="FFFFFF"/>
            <w:noWrap/>
            <w:hideMark/>
          </w:tcPr>
          <w:p w14:paraId="448CE2C6" w14:textId="77777777" w:rsidR="00A132A5" w:rsidRPr="007A5275" w:rsidRDefault="00A132A5" w:rsidP="00294E6C">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r>
      <w:tr w:rsidR="00A132A5" w:rsidRPr="007A5275" w14:paraId="71289C07" w14:textId="77777777" w:rsidTr="00294E6C">
        <w:trPr>
          <w:trHeight w:val="285"/>
        </w:trPr>
        <w:tc>
          <w:tcPr>
            <w:tcW w:w="2134" w:type="pct"/>
            <w:tcBorders>
              <w:top w:val="nil"/>
              <w:left w:val="nil"/>
              <w:bottom w:val="nil"/>
              <w:right w:val="nil"/>
            </w:tcBorders>
            <w:shd w:val="clear" w:color="000000" w:fill="FFFFFF"/>
            <w:noWrap/>
            <w:hideMark/>
          </w:tcPr>
          <w:p w14:paraId="3C61FF48" w14:textId="77777777" w:rsidR="00A132A5" w:rsidRPr="007A5275" w:rsidRDefault="00A132A5" w:rsidP="00294E6C">
            <w:pPr>
              <w:spacing w:after="0" w:line="240" w:lineRule="auto"/>
              <w:rPr>
                <w:rFonts w:eastAsia="Times New Roman" w:cs="Times New Roman"/>
                <w:color w:val="000000"/>
                <w:sz w:val="18"/>
                <w:szCs w:val="18"/>
                <w:lang w:eastAsia="et-EE"/>
              </w:rPr>
            </w:pPr>
            <w:r w:rsidRPr="007A5275">
              <w:rPr>
                <w:rFonts w:eastAsia="Times New Roman" w:cs="Times New Roman"/>
                <w:color w:val="000000"/>
                <w:sz w:val="18"/>
                <w:szCs w:val="18"/>
                <w:lang w:eastAsia="et-EE"/>
              </w:rPr>
              <w:t> </w:t>
            </w:r>
          </w:p>
        </w:tc>
        <w:tc>
          <w:tcPr>
            <w:tcW w:w="2757" w:type="pct"/>
            <w:gridSpan w:val="7"/>
            <w:tcBorders>
              <w:top w:val="nil"/>
              <w:left w:val="nil"/>
              <w:bottom w:val="nil"/>
              <w:right w:val="nil"/>
            </w:tcBorders>
            <w:shd w:val="clear" w:color="000000" w:fill="FFFFFF"/>
            <w:noWrap/>
            <w:hideMark/>
          </w:tcPr>
          <w:p w14:paraId="168B4DE4" w14:textId="77777777" w:rsidR="00A132A5" w:rsidRPr="007A5275" w:rsidRDefault="009F0D0B" w:rsidP="00294E6C">
            <w:pPr>
              <w:spacing w:after="0" w:line="240" w:lineRule="auto"/>
              <w:rPr>
                <w:rFonts w:eastAsia="Times New Roman" w:cs="Times New Roman"/>
                <w:color w:val="0000FF"/>
                <w:sz w:val="16"/>
                <w:szCs w:val="16"/>
                <w:u w:val="single"/>
                <w:lang w:eastAsia="et-EE"/>
              </w:rPr>
            </w:pPr>
            <w:hyperlink r:id="rId10" w:history="1">
              <w:r w:rsidR="00A132A5" w:rsidRPr="007A5275">
                <w:rPr>
                  <w:rFonts w:eastAsia="Times New Roman" w:cs="Times New Roman"/>
                  <w:color w:val="0000FF"/>
                  <w:sz w:val="16"/>
                  <w:szCs w:val="16"/>
                  <w:u w:val="single"/>
                  <w:lang w:eastAsia="et-EE"/>
                </w:rPr>
                <w:t>http://eur-lex.europa.eu/LexUriServ/LexUriServ.do?uri=OJ:L:2013:347:0487:0548:ET:PDF</w:t>
              </w:r>
            </w:hyperlink>
          </w:p>
        </w:tc>
        <w:tc>
          <w:tcPr>
            <w:tcW w:w="109" w:type="pct"/>
            <w:tcBorders>
              <w:top w:val="nil"/>
              <w:left w:val="nil"/>
              <w:bottom w:val="nil"/>
              <w:right w:val="nil"/>
            </w:tcBorders>
            <w:shd w:val="clear" w:color="000000" w:fill="FFFFFF"/>
            <w:noWrap/>
            <w:hideMark/>
          </w:tcPr>
          <w:p w14:paraId="7937EA68" w14:textId="77777777" w:rsidR="00A132A5" w:rsidRPr="007A5275" w:rsidRDefault="00A132A5" w:rsidP="00294E6C">
            <w:pPr>
              <w:spacing w:after="0" w:line="240" w:lineRule="auto"/>
              <w:rPr>
                <w:rFonts w:eastAsia="Times New Roman" w:cs="Times New Roman"/>
                <w:color w:val="000000"/>
                <w:sz w:val="16"/>
                <w:szCs w:val="16"/>
                <w:lang w:eastAsia="et-EE"/>
              </w:rPr>
            </w:pPr>
            <w:r w:rsidRPr="007A5275">
              <w:rPr>
                <w:rFonts w:eastAsia="Times New Roman" w:cs="Times New Roman"/>
                <w:color w:val="000000"/>
                <w:sz w:val="16"/>
                <w:szCs w:val="16"/>
                <w:lang w:eastAsia="et-EE"/>
              </w:rPr>
              <w:t> </w:t>
            </w:r>
          </w:p>
        </w:tc>
      </w:tr>
      <w:tr w:rsidR="00A132A5" w:rsidRPr="007A5275" w14:paraId="79A190B4" w14:textId="77777777" w:rsidTr="00294E6C">
        <w:trPr>
          <w:trHeight w:val="285"/>
        </w:trPr>
        <w:tc>
          <w:tcPr>
            <w:tcW w:w="2134" w:type="pct"/>
            <w:tcBorders>
              <w:top w:val="nil"/>
              <w:left w:val="nil"/>
              <w:bottom w:val="nil"/>
              <w:right w:val="nil"/>
            </w:tcBorders>
            <w:shd w:val="clear" w:color="auto" w:fill="auto"/>
            <w:noWrap/>
            <w:hideMark/>
          </w:tcPr>
          <w:p w14:paraId="3DF6A94F" w14:textId="77777777" w:rsidR="00A132A5" w:rsidRPr="007A5275" w:rsidRDefault="00A132A5" w:rsidP="00294E6C">
            <w:pPr>
              <w:spacing w:after="0" w:line="240" w:lineRule="auto"/>
              <w:rPr>
                <w:rFonts w:eastAsia="Times New Roman" w:cs="Times New Roman"/>
                <w:color w:val="000000"/>
                <w:sz w:val="16"/>
                <w:szCs w:val="16"/>
                <w:lang w:eastAsia="et-EE"/>
              </w:rPr>
            </w:pPr>
          </w:p>
        </w:tc>
        <w:tc>
          <w:tcPr>
            <w:tcW w:w="2102" w:type="pct"/>
            <w:tcBorders>
              <w:top w:val="nil"/>
              <w:left w:val="nil"/>
              <w:bottom w:val="nil"/>
              <w:right w:val="nil"/>
            </w:tcBorders>
            <w:shd w:val="clear" w:color="auto" w:fill="auto"/>
            <w:noWrap/>
            <w:hideMark/>
          </w:tcPr>
          <w:p w14:paraId="3ACA23C6" w14:textId="77777777" w:rsidR="00A132A5" w:rsidRPr="007A5275" w:rsidRDefault="00A132A5" w:rsidP="00294E6C">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77CB483B" w14:textId="77777777" w:rsidR="00A132A5" w:rsidRPr="007A5275" w:rsidRDefault="00A132A5" w:rsidP="00294E6C">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4C9EEF73" w14:textId="77777777" w:rsidR="00A132A5" w:rsidRPr="007A5275" w:rsidRDefault="00A132A5" w:rsidP="00294E6C">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0854FDE6" w14:textId="77777777" w:rsidR="00A132A5" w:rsidRPr="007A5275" w:rsidRDefault="00A132A5" w:rsidP="00294E6C">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3F9D2258" w14:textId="77777777" w:rsidR="00A132A5" w:rsidRPr="007A5275" w:rsidRDefault="00A132A5" w:rsidP="00294E6C">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0A3B4FE1" w14:textId="77777777" w:rsidR="00A132A5" w:rsidRPr="007A5275" w:rsidRDefault="00A132A5" w:rsidP="00294E6C">
            <w:pPr>
              <w:spacing w:after="0" w:line="240" w:lineRule="auto"/>
              <w:rPr>
                <w:rFonts w:eastAsia="Times New Roman" w:cs="Times New Roman"/>
                <w:sz w:val="20"/>
                <w:szCs w:val="20"/>
                <w:lang w:eastAsia="et-EE"/>
              </w:rPr>
            </w:pPr>
          </w:p>
        </w:tc>
        <w:tc>
          <w:tcPr>
            <w:tcW w:w="110" w:type="pct"/>
            <w:tcBorders>
              <w:top w:val="nil"/>
              <w:left w:val="nil"/>
              <w:bottom w:val="nil"/>
              <w:right w:val="nil"/>
            </w:tcBorders>
            <w:shd w:val="clear" w:color="auto" w:fill="auto"/>
            <w:noWrap/>
            <w:hideMark/>
          </w:tcPr>
          <w:p w14:paraId="20743046" w14:textId="77777777" w:rsidR="00A132A5" w:rsidRPr="007A5275" w:rsidRDefault="00A132A5" w:rsidP="00294E6C">
            <w:pPr>
              <w:spacing w:after="0" w:line="240" w:lineRule="auto"/>
              <w:rPr>
                <w:rFonts w:eastAsia="Times New Roman" w:cs="Times New Roman"/>
                <w:sz w:val="20"/>
                <w:szCs w:val="20"/>
                <w:lang w:eastAsia="et-EE"/>
              </w:rPr>
            </w:pPr>
          </w:p>
        </w:tc>
        <w:tc>
          <w:tcPr>
            <w:tcW w:w="109" w:type="pct"/>
            <w:tcBorders>
              <w:top w:val="nil"/>
              <w:left w:val="nil"/>
              <w:bottom w:val="nil"/>
              <w:right w:val="nil"/>
            </w:tcBorders>
            <w:shd w:val="clear" w:color="auto" w:fill="auto"/>
            <w:noWrap/>
            <w:hideMark/>
          </w:tcPr>
          <w:p w14:paraId="246CB67D" w14:textId="77777777" w:rsidR="00A132A5" w:rsidRPr="007A5275" w:rsidRDefault="00A132A5" w:rsidP="00294E6C">
            <w:pPr>
              <w:spacing w:after="0" w:line="240" w:lineRule="auto"/>
              <w:rPr>
                <w:rFonts w:eastAsia="Times New Roman" w:cs="Times New Roman"/>
                <w:sz w:val="20"/>
                <w:szCs w:val="20"/>
                <w:lang w:eastAsia="et-EE"/>
              </w:rPr>
            </w:pPr>
          </w:p>
        </w:tc>
      </w:tr>
    </w:tbl>
    <w:p w14:paraId="46394B8B" w14:textId="77777777" w:rsidR="00A132A5" w:rsidRPr="007A5275" w:rsidRDefault="00A132A5"/>
    <w:p w14:paraId="1F13DA9B" w14:textId="77777777" w:rsidR="00A132A5" w:rsidRPr="007A5275" w:rsidRDefault="00A132A5"/>
    <w:tbl>
      <w:tblPr>
        <w:tblpPr w:leftFromText="141" w:rightFromText="141" w:horzAnchor="margin" w:tblpY="-1410"/>
        <w:tblW w:w="5000" w:type="pct"/>
        <w:tblCellMar>
          <w:left w:w="70" w:type="dxa"/>
          <w:right w:w="70" w:type="dxa"/>
        </w:tblCellMar>
        <w:tblLook w:val="05A0" w:firstRow="1" w:lastRow="0" w:firstColumn="1" w:lastColumn="1" w:noHBand="0" w:noVBand="1"/>
      </w:tblPr>
      <w:tblGrid>
        <w:gridCol w:w="5688"/>
        <w:gridCol w:w="6190"/>
        <w:gridCol w:w="322"/>
        <w:gridCol w:w="322"/>
        <w:gridCol w:w="322"/>
        <w:gridCol w:w="322"/>
        <w:gridCol w:w="322"/>
        <w:gridCol w:w="325"/>
        <w:gridCol w:w="191"/>
      </w:tblGrid>
      <w:tr w:rsidR="00294E6C" w:rsidRPr="007A5275" w14:paraId="0318FABC" w14:textId="77777777" w:rsidTr="00294E6C">
        <w:trPr>
          <w:trHeight w:val="300"/>
        </w:trPr>
        <w:tc>
          <w:tcPr>
            <w:tcW w:w="5000" w:type="pct"/>
            <w:gridSpan w:val="9"/>
            <w:tcBorders>
              <w:top w:val="nil"/>
              <w:left w:val="nil"/>
              <w:bottom w:val="nil"/>
              <w:right w:val="nil"/>
            </w:tcBorders>
            <w:shd w:val="clear" w:color="000000" w:fill="FFFFFF"/>
            <w:vAlign w:val="bottom"/>
            <w:hideMark/>
          </w:tcPr>
          <w:p w14:paraId="57B62E3F" w14:textId="77777777" w:rsidR="00294E6C" w:rsidRPr="007A5275" w:rsidRDefault="00294E6C" w:rsidP="00294E6C">
            <w:pPr>
              <w:rPr>
                <w:b/>
                <w:bCs/>
              </w:rPr>
            </w:pPr>
            <w:r w:rsidRPr="007A5275">
              <w:rPr>
                <w:b/>
                <w:bCs/>
              </w:rPr>
              <w:lastRenderedPageBreak/>
              <w:t>C. STRATEEGIA MEEDE ¹</w:t>
            </w:r>
          </w:p>
        </w:tc>
      </w:tr>
      <w:tr w:rsidR="00294E6C" w:rsidRPr="007A5275" w14:paraId="70C459A9" w14:textId="77777777" w:rsidTr="00294E6C">
        <w:trPr>
          <w:trHeight w:val="285"/>
        </w:trPr>
        <w:tc>
          <w:tcPr>
            <w:tcW w:w="5000" w:type="pct"/>
            <w:gridSpan w:val="9"/>
            <w:tcBorders>
              <w:top w:val="nil"/>
              <w:left w:val="nil"/>
              <w:bottom w:val="nil"/>
              <w:right w:val="nil"/>
            </w:tcBorders>
            <w:shd w:val="clear" w:color="000000" w:fill="FFFFFF"/>
            <w:noWrap/>
            <w:hideMark/>
          </w:tcPr>
          <w:p w14:paraId="7057BB96" w14:textId="77777777" w:rsidR="00294E6C" w:rsidRPr="007A5275" w:rsidRDefault="00294E6C" w:rsidP="00294E6C">
            <w:r w:rsidRPr="007A5275">
              <w:t> </w:t>
            </w:r>
          </w:p>
        </w:tc>
      </w:tr>
      <w:tr w:rsidR="00294E6C" w:rsidRPr="007A5275" w14:paraId="0C77E768" w14:textId="77777777" w:rsidTr="00294E6C">
        <w:trPr>
          <w:trHeight w:val="285"/>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noWrap/>
            <w:hideMark/>
          </w:tcPr>
          <w:p w14:paraId="37B09604" w14:textId="77777777" w:rsidR="00294E6C" w:rsidRPr="007A5275" w:rsidRDefault="00294E6C" w:rsidP="00294E6C">
            <w:r w:rsidRPr="007A5275">
              <w:t>1. Strateegia meetme nimetus</w:t>
            </w:r>
          </w:p>
        </w:tc>
      </w:tr>
      <w:tr w:rsidR="00294E6C" w:rsidRPr="007A5275" w14:paraId="7C494D17" w14:textId="77777777" w:rsidTr="00294E6C">
        <w:trPr>
          <w:trHeight w:val="66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hideMark/>
          </w:tcPr>
          <w:p w14:paraId="6EF52CFD" w14:textId="77777777" w:rsidR="00294E6C" w:rsidRPr="007A5275" w:rsidRDefault="00294E6C" w:rsidP="00294E6C">
            <w:pPr>
              <w:rPr>
                <w:b/>
              </w:rPr>
            </w:pPr>
          </w:p>
          <w:p w14:paraId="4ECBC631" w14:textId="77777777" w:rsidR="00294E6C" w:rsidRPr="007A5275" w:rsidRDefault="00294E6C" w:rsidP="00294E6C">
            <w:pPr>
              <w:rPr>
                <w:b/>
                <w:bCs/>
              </w:rPr>
            </w:pPr>
            <w:bookmarkStart w:id="1" w:name="_Toc290810572"/>
            <w:r w:rsidRPr="007A5275">
              <w:rPr>
                <w:b/>
                <w:bCs/>
              </w:rPr>
              <w:t>Meede 3 – Mikroettevõtluse arendamine</w:t>
            </w:r>
            <w:bookmarkEnd w:id="1"/>
          </w:p>
          <w:p w14:paraId="7A7F2F5F" w14:textId="77777777" w:rsidR="00294E6C" w:rsidRPr="007A5275" w:rsidRDefault="00294E6C" w:rsidP="00294E6C">
            <w:pPr>
              <w:rPr>
                <w:b/>
              </w:rPr>
            </w:pPr>
          </w:p>
        </w:tc>
      </w:tr>
      <w:tr w:rsidR="00294E6C" w:rsidRPr="007A5275" w14:paraId="0426C477"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noWrap/>
            <w:hideMark/>
          </w:tcPr>
          <w:p w14:paraId="231F55AE" w14:textId="77777777" w:rsidR="00294E6C" w:rsidRPr="007A5275" w:rsidRDefault="00294E6C" w:rsidP="00294E6C">
            <w:r w:rsidRPr="007A5275">
              <w:t>2. Strateegia meetme rakendamise vajaduse lühikirjeldus</w:t>
            </w:r>
          </w:p>
        </w:tc>
      </w:tr>
      <w:tr w:rsidR="00294E6C" w:rsidRPr="007A5275" w14:paraId="06784FE7" w14:textId="77777777" w:rsidTr="00294E6C">
        <w:trPr>
          <w:trHeight w:val="177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tcPr>
          <w:p w14:paraId="5E4BAAF2" w14:textId="77777777" w:rsidR="00294E6C" w:rsidRPr="007A5275" w:rsidRDefault="00294E6C" w:rsidP="00294E6C">
            <w:r w:rsidRPr="007A5275">
              <w:t>Ettevõtlus on NVK tegevuspiirkonnas viimase kümne aasta jooksul jõudsalt arenenud. Majanduslikult aktiivsete ettevõtete arv 1000 elaniku kohta on samal tasemel maakonna keskmisega ja ületab Eesti oma. Teisalt on puudu kohapealsetest toodetest ja teenustest, mis on mõeldud nii piirkonna elanikele, külastajatele kui ka müügiks piirkonnast väljapoole. Toetamist vajab ka lühike tarneahel, et värske kaup oleks koha peal hõlpsalt kättesaadav. Selleks on vajalik mikroettevõtluse toetamine – suuremad ettevõtted tulevad reeglina ise toime, alustamiseks vajalikku kapitali väikestel aga sageli pole.</w:t>
            </w:r>
          </w:p>
          <w:p w14:paraId="17E9FC14" w14:textId="77777777" w:rsidR="00294E6C" w:rsidRPr="007A5275" w:rsidRDefault="00294E6C" w:rsidP="00294E6C"/>
        </w:tc>
      </w:tr>
      <w:tr w:rsidR="00294E6C" w:rsidRPr="007A5275" w14:paraId="5B4ECF04"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509E1314" w14:textId="77777777" w:rsidR="00294E6C" w:rsidRPr="007A5275" w:rsidRDefault="00294E6C" w:rsidP="00294E6C">
            <w:r w:rsidRPr="007A5275">
              <w:t xml:space="preserve">3. Strateegia meetme eesmärk  </w:t>
            </w:r>
          </w:p>
        </w:tc>
      </w:tr>
      <w:tr w:rsidR="00294E6C" w:rsidRPr="007A5275" w14:paraId="3E5EA151" w14:textId="77777777" w:rsidTr="00294E6C">
        <w:trPr>
          <w:trHeight w:val="726"/>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7968A3BE" w14:textId="77777777" w:rsidR="00294E6C" w:rsidRPr="007A5275" w:rsidRDefault="00294E6C" w:rsidP="00294E6C">
            <w:pPr>
              <w:rPr>
                <w:b/>
              </w:rPr>
            </w:pPr>
            <w:r w:rsidRPr="007A5275">
              <w:rPr>
                <w:b/>
              </w:rPr>
              <w:t xml:space="preserve">Meetme rakendamise eesmärgiks </w:t>
            </w:r>
            <w:r w:rsidRPr="007A5275">
              <w:t>on kohalike töökohtade ja teenuste arvu tõstmine läbi uute ning olemasolevate teenuste ja toodete arendamise.</w:t>
            </w:r>
          </w:p>
        </w:tc>
      </w:tr>
      <w:tr w:rsidR="00294E6C" w:rsidRPr="007A5275" w14:paraId="1AD16C2C"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4F5F6C7A" w14:textId="77777777" w:rsidR="00294E6C" w:rsidRPr="007A5275" w:rsidRDefault="00294E6C" w:rsidP="00294E6C">
            <w:r w:rsidRPr="007A5275">
              <w:t xml:space="preserve">4. Toetatavad tegevused² </w:t>
            </w:r>
          </w:p>
        </w:tc>
      </w:tr>
      <w:tr w:rsidR="00294E6C" w:rsidRPr="007A5275" w14:paraId="663BE722" w14:textId="77777777" w:rsidTr="00294E6C">
        <w:trPr>
          <w:trHeight w:val="177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6F2FA461" w14:textId="77777777" w:rsidR="00294E6C" w:rsidRPr="007A5275" w:rsidRDefault="00294E6C" w:rsidP="00294E6C">
            <w:pPr>
              <w:numPr>
                <w:ilvl w:val="0"/>
                <w:numId w:val="1"/>
              </w:numPr>
            </w:pPr>
            <w:r w:rsidRPr="007A5275">
              <w:t>Põhivara soetamine</w:t>
            </w:r>
          </w:p>
          <w:p w14:paraId="11C2199F" w14:textId="77777777" w:rsidR="00294E6C" w:rsidRPr="007A5275" w:rsidRDefault="00294E6C" w:rsidP="00294E6C">
            <w:pPr>
              <w:numPr>
                <w:ilvl w:val="0"/>
                <w:numId w:val="1"/>
              </w:numPr>
            </w:pPr>
            <w:r w:rsidRPr="007A5275">
              <w:t>Turundustegevused</w:t>
            </w:r>
          </w:p>
          <w:p w14:paraId="5E5DB051" w14:textId="77777777" w:rsidR="00294E6C" w:rsidRPr="007A5275" w:rsidRDefault="00294E6C" w:rsidP="00294E6C">
            <w:pPr>
              <w:numPr>
                <w:ilvl w:val="0"/>
                <w:numId w:val="1"/>
              </w:numPr>
            </w:pPr>
            <w:r w:rsidRPr="007A5275">
              <w:t>Investeeringud hoonetesse ja taristusse</w:t>
            </w:r>
          </w:p>
          <w:p w14:paraId="4B41FF2C" w14:textId="77777777" w:rsidR="00294E6C" w:rsidRPr="007A5275" w:rsidRDefault="00294E6C" w:rsidP="00294E6C">
            <w:pPr>
              <w:numPr>
                <w:ilvl w:val="0"/>
                <w:numId w:val="1"/>
              </w:numPr>
            </w:pPr>
            <w:r w:rsidRPr="007A5275">
              <w:t>Investeeringuga otseselt seotud koolitused jms</w:t>
            </w:r>
          </w:p>
          <w:p w14:paraId="3DE71C77" w14:textId="77777777" w:rsidR="00294E6C" w:rsidRPr="007A5275" w:rsidRDefault="00294E6C" w:rsidP="00294E6C">
            <w:pPr>
              <w:numPr>
                <w:ilvl w:val="0"/>
                <w:numId w:val="1"/>
              </w:numPr>
            </w:pPr>
            <w:r w:rsidRPr="007A5275">
              <w:t>Investeeringut ette valmistavad tegevused, kui need viiakse ellu sama investeeringuprojekti raames ja mis ei ületa 3% kogu projekti mahust</w:t>
            </w:r>
          </w:p>
        </w:tc>
      </w:tr>
      <w:tr w:rsidR="00294E6C" w:rsidRPr="007A5275" w14:paraId="72467067" w14:textId="77777777" w:rsidTr="00294E6C">
        <w:trPr>
          <w:trHeight w:val="765"/>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231EDE64" w14:textId="77777777" w:rsidR="00294E6C" w:rsidRPr="007A5275" w:rsidRDefault="00294E6C" w:rsidP="00294E6C">
            <w:r w:rsidRPr="007A5275">
              <w:lastRenderedPageBreak/>
              <w:t>5. Kohaliku tegevusgrupi nõuded projektitoetuse taotlejale ja toetuse saajale (sh. dokumendid , mida peab projektitoetuse taotleja esitama taotluse esitamisel)</w:t>
            </w:r>
          </w:p>
        </w:tc>
      </w:tr>
      <w:tr w:rsidR="00665C1A" w:rsidRPr="007A5275" w14:paraId="66F40846" w14:textId="77777777" w:rsidTr="00294E6C">
        <w:trPr>
          <w:trHeight w:val="177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1353039A" w14:textId="77777777" w:rsidR="00BA3B15" w:rsidRPr="007A5275" w:rsidRDefault="00BA3B15" w:rsidP="00BA3B15">
            <w:pPr>
              <w:rPr>
                <w:rFonts w:eastAsia="Times New Roman" w:cs="Times New Roman"/>
                <w:b/>
                <w:color w:val="000000"/>
                <w:lang w:eastAsia="et-EE"/>
              </w:rPr>
            </w:pPr>
            <w:r w:rsidRPr="007A5275">
              <w:rPr>
                <w:rFonts w:eastAsia="Times New Roman" w:cs="Times New Roman"/>
                <w:b/>
                <w:color w:val="000000"/>
                <w:lang w:eastAsia="et-EE"/>
              </w:rPr>
              <w:t>Projektitoetuse taotlejale esitatavad nõuded</w:t>
            </w:r>
          </w:p>
          <w:p w14:paraId="72BDD8E0"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(1) Projektitoetust võivad taotleda kohaliku tegevusgrupi toetust saanud kohaliku tegevusgrupi tegevuspiirkonnas tegutsev ettevõtja, kohaliku omavalitsuse üksus, sihtasutus, seltsing, põllu- ja maamajanduse valdkonna riigimuuseum ning mittetulundusühing, sealhulgas kohalik tegevusgrupp (edaspidi koos projektitoetuse taotleja).</w:t>
            </w:r>
          </w:p>
          <w:p w14:paraId="7835F079"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(2) Kohaliku tegevusgrupi projektitaotlus peab olema vastu võetud kohaliku tegevusgrupi üldkoosoleku otsusega, millest peab nähtuma projektitaotluse vastavus strateegias ja rakenduskavas esitatud nõuetele.</w:t>
            </w:r>
          </w:p>
          <w:p w14:paraId="48574FC3"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(3) Projektitoetuse taotleja vastab projektitoetuse saamiseks esitatavatele nõuetele, kui:</w:t>
            </w:r>
          </w:p>
          <w:p w14:paraId="589BC4C7"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1) ta on seltsing ja seltsinguleping on sõlmitud kirjalikult vähemalt viieks aastaks arvates PRIA poolt viimase toetusosa väljamaksmisest;</w:t>
            </w:r>
          </w:p>
          <w:p w14:paraId="6AD8F76F"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2) ta vastab Euroopa Parlamendi ja nõukogu määruse (EL) nr 1305/2013 III jaotise I peatükis ja strateegia meetmes nimetatud taotleja kohta esitatud nõuetele ning riigiabi reeglitest tulenevatele nõuetele;</w:t>
            </w:r>
          </w:p>
          <w:p w14:paraId="209941CE"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3) tal ei ole riikliku maksu võlga või tema riikliku maksu võla tasumine on ajatatud ja maksuvõla tasumise ajatamise korral on maksuvõlg, mille tasumise tähtaeg on möödunud, tasutud ettenähtud summas;</w:t>
            </w:r>
          </w:p>
          <w:p w14:paraId="327E45A4"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4) ta ei ole saanud ega taotle samal ajal sama tegevuse või investeeringuobjekti kohta toetust riigieelarvelistest või muudest Euroopa Liidu või </w:t>
            </w:r>
            <w:proofErr w:type="spellStart"/>
            <w:r w:rsidRPr="007A5275">
              <w:rPr>
                <w:rFonts w:eastAsia="Times New Roman" w:cs="Times New Roman"/>
                <w:color w:val="000000"/>
                <w:lang w:eastAsia="et-EE"/>
              </w:rPr>
              <w:t>välisvahenditest</w:t>
            </w:r>
            <w:proofErr w:type="spellEnd"/>
            <w:r w:rsidRPr="007A5275">
              <w:rPr>
                <w:rFonts w:eastAsia="Times New Roman" w:cs="Times New Roman"/>
                <w:color w:val="000000"/>
                <w:lang w:eastAsia="et-EE"/>
              </w:rPr>
              <w:t xml:space="preserve"> või muud </w:t>
            </w:r>
            <w:proofErr w:type="spellStart"/>
            <w:r w:rsidRPr="007A5275">
              <w:rPr>
                <w:rFonts w:eastAsia="Times New Roman" w:cs="Times New Roman"/>
                <w:color w:val="000000"/>
                <w:lang w:eastAsia="et-EE"/>
              </w:rPr>
              <w:t>tagastamatut</w:t>
            </w:r>
            <w:proofErr w:type="spellEnd"/>
            <w:r w:rsidRPr="007A5275">
              <w:rPr>
                <w:rFonts w:eastAsia="Times New Roman" w:cs="Times New Roman"/>
                <w:color w:val="000000"/>
                <w:lang w:eastAsia="et-EE"/>
              </w:rPr>
              <w:t xml:space="preserve"> riigiabi;</w:t>
            </w:r>
          </w:p>
          <w:p w14:paraId="31427B32"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5) ta on varem riigieelarvelistest või muudest Euroopa Liidu või </w:t>
            </w:r>
            <w:proofErr w:type="spellStart"/>
            <w:r w:rsidRPr="007A5275">
              <w:rPr>
                <w:rFonts w:eastAsia="Times New Roman" w:cs="Times New Roman"/>
                <w:color w:val="000000"/>
                <w:lang w:eastAsia="et-EE"/>
              </w:rPr>
              <w:t>välisvahenditest</w:t>
            </w:r>
            <w:proofErr w:type="spellEnd"/>
            <w:r w:rsidRPr="007A5275">
              <w:rPr>
                <w:rFonts w:eastAsia="Times New Roman" w:cs="Times New Roman"/>
                <w:color w:val="000000"/>
                <w:lang w:eastAsia="et-EE"/>
              </w:rPr>
              <w:t xml:space="preserve"> saadud ja tagasimaksmisele kuulunud summa tähtajal tagasi maksnud või toetuse tagasimaksmise ajatamise korral tagasimaksed tasunud ettenähtud summas;</w:t>
            </w:r>
          </w:p>
          <w:p w14:paraId="5E7D061A"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6) tema suhtes ei ole algatatud likvideerimismenetlust ega kohtuotsusega välja kuulutatud pankrotti;</w:t>
            </w:r>
          </w:p>
          <w:p w14:paraId="7D600495"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7) tähtajaliselt asutatud projektitoetuse taotleja puhul ei ole see tähtaeg lühem kui viis aastat arvates PRIA poolt viimase toetusosa väljamaksmisest.</w:t>
            </w:r>
          </w:p>
          <w:p w14:paraId="679CD2F8" w14:textId="77777777" w:rsidR="00BA3B15" w:rsidRPr="007A5275" w:rsidRDefault="00BA3B15" w:rsidP="00BA3B15">
            <w:pPr>
              <w:rPr>
                <w:rFonts w:cs="Arial"/>
                <w:noProof/>
              </w:rPr>
            </w:pPr>
            <w:r w:rsidRPr="007A5275">
              <w:rPr>
                <w:rFonts w:eastAsia="Times New Roman" w:cs="Times New Roman"/>
                <w:color w:val="000000"/>
                <w:lang w:eastAsia="et-EE"/>
              </w:rPr>
              <w:t xml:space="preserve"> (4) Projektitoetuse taotleja ei või toetatava tegevuse elluviimist või investeeringu tegemist alustada varem ja tegevuse elluviimist või investeeringu tegemist tõendavad dokumendid ei või olla väljastatud varem kui kohaliku tegevusgrupi poolt projektitaotluse </w:t>
            </w:r>
            <w:proofErr w:type="spellStart"/>
            <w:r w:rsidRPr="007A5275">
              <w:rPr>
                <w:rFonts w:eastAsia="Times New Roman" w:cs="Times New Roman"/>
                <w:color w:val="000000"/>
                <w:lang w:eastAsia="et-EE"/>
              </w:rPr>
              <w:t>PRIAle</w:t>
            </w:r>
            <w:proofErr w:type="spellEnd"/>
            <w:r w:rsidRPr="007A5275">
              <w:rPr>
                <w:rFonts w:eastAsia="Times New Roman" w:cs="Times New Roman"/>
                <w:color w:val="000000"/>
                <w:lang w:eastAsia="et-EE"/>
              </w:rPr>
              <w:t xml:space="preserve"> esitamise päevale järgneval päeval. </w:t>
            </w:r>
            <w:r w:rsidRPr="007A5275">
              <w:rPr>
                <w:rFonts w:cs="Arial"/>
                <w:noProof/>
              </w:rPr>
              <w:t xml:space="preserve"> </w:t>
            </w:r>
          </w:p>
          <w:p w14:paraId="06566444" w14:textId="77777777" w:rsidR="00BA3B15" w:rsidRPr="007A5275" w:rsidRDefault="00665C1A" w:rsidP="00665C1A">
            <w:pPr>
              <w:rPr>
                <w:rFonts w:cs="Arial"/>
                <w:noProof/>
              </w:rPr>
            </w:pPr>
            <w:r w:rsidRPr="007A5275">
              <w:rPr>
                <w:rFonts w:eastAsia="Times New Roman" w:cs="Times New Roman"/>
                <w:color w:val="000000"/>
                <w:lang w:eastAsia="et-EE"/>
              </w:rPr>
              <w:t> </w:t>
            </w:r>
            <w:r w:rsidRPr="007A5275">
              <w:rPr>
                <w:rFonts w:cs="Arial"/>
                <w:noProof/>
              </w:rPr>
              <w:t xml:space="preserve"> </w:t>
            </w:r>
          </w:p>
          <w:p w14:paraId="3B5134F5" w14:textId="77777777" w:rsidR="00665C1A" w:rsidRPr="007A5275" w:rsidRDefault="00665C1A" w:rsidP="00665C1A">
            <w:pPr>
              <w:pStyle w:val="Loendilik"/>
              <w:rPr>
                <w:rFonts w:cs="Arial"/>
                <w:noProof/>
                <w:lang w:val="et-EE"/>
              </w:rPr>
            </w:pPr>
          </w:p>
          <w:p w14:paraId="356973F2" w14:textId="77777777" w:rsidR="002B3405" w:rsidRPr="007A5275" w:rsidRDefault="002B3405" w:rsidP="00665C1A">
            <w:pPr>
              <w:rPr>
                <w:rFonts w:cs="Arial"/>
                <w:b/>
                <w:noProof/>
              </w:rPr>
            </w:pPr>
            <w:r w:rsidRPr="007A5275">
              <w:rPr>
                <w:rFonts w:cs="Arial"/>
                <w:b/>
                <w:noProof/>
              </w:rPr>
              <w:t>Toetuse saajad</w:t>
            </w:r>
          </w:p>
          <w:p w14:paraId="2991D5B2" w14:textId="77777777" w:rsidR="002B3405" w:rsidRPr="007A5275" w:rsidRDefault="002B3405" w:rsidP="00665C1A">
            <w:pPr>
              <w:rPr>
                <w:rFonts w:cs="Arial"/>
                <w:noProof/>
              </w:rPr>
            </w:pPr>
            <w:r w:rsidRPr="007A5275">
              <w:rPr>
                <w:rFonts w:cs="Arial"/>
                <w:noProof/>
              </w:rPr>
              <w:t>Ettevõtted, sh FIEd</w:t>
            </w:r>
          </w:p>
          <w:p w14:paraId="5ABFCBC7" w14:textId="77777777" w:rsidR="002B3405" w:rsidRPr="007A5275" w:rsidRDefault="002B3405" w:rsidP="00665C1A">
            <w:pPr>
              <w:rPr>
                <w:rFonts w:cs="Arial"/>
                <w:b/>
                <w:noProof/>
              </w:rPr>
            </w:pPr>
            <w:r w:rsidRPr="007A5275">
              <w:rPr>
                <w:rFonts w:cs="Arial"/>
                <w:b/>
                <w:noProof/>
              </w:rPr>
              <w:t>Nõuded toetuse saajale</w:t>
            </w:r>
          </w:p>
          <w:p w14:paraId="0AF98164" w14:textId="77777777" w:rsidR="002B3405" w:rsidRPr="007A5275" w:rsidRDefault="002B3405" w:rsidP="002B3405">
            <w:pPr>
              <w:rPr>
                <w:rFonts w:cs="Arial"/>
                <w:noProof/>
              </w:rPr>
            </w:pPr>
            <w:r w:rsidRPr="007A5275">
              <w:rPr>
                <w:rFonts w:cs="Arial"/>
                <w:noProof/>
              </w:rPr>
              <w:t>Projekti tegevused viiakse ellu NVK tegevuspiirkonnas</w:t>
            </w:r>
          </w:p>
          <w:p w14:paraId="20E5829E" w14:textId="77777777" w:rsidR="002B3405" w:rsidRPr="007A5275" w:rsidRDefault="002B3405" w:rsidP="002B3405">
            <w:pPr>
              <w:rPr>
                <w:rFonts w:cs="Arial"/>
                <w:noProof/>
              </w:rPr>
            </w:pPr>
            <w:r w:rsidRPr="007A5275">
              <w:rPr>
                <w:rFonts w:cs="Arial"/>
                <w:noProof/>
              </w:rPr>
              <w:t>Taotleja peab taotluse lisana esitama äriplaani</w:t>
            </w:r>
          </w:p>
          <w:p w14:paraId="1FD09E19" w14:textId="77777777" w:rsidR="002B3405" w:rsidRPr="007A5275" w:rsidRDefault="002B3405" w:rsidP="002B3405">
            <w:pPr>
              <w:rPr>
                <w:rFonts w:cs="Arial"/>
                <w:noProof/>
              </w:rPr>
            </w:pPr>
            <w:r w:rsidRPr="007A5275">
              <w:rPr>
                <w:rFonts w:cs="Arial"/>
                <w:noProof/>
              </w:rPr>
              <w:t>Äriplaan peb sisaldama alljärgnevaid osasid:</w:t>
            </w:r>
          </w:p>
          <w:p w14:paraId="214DEF7D" w14:textId="77777777" w:rsidR="00F82E9D" w:rsidRPr="007A5275" w:rsidRDefault="00F82E9D" w:rsidP="00F82E9D">
            <w:r w:rsidRPr="007A5275">
              <w:t>1. Kokkuvõte</w:t>
            </w:r>
          </w:p>
          <w:p w14:paraId="45E9500C" w14:textId="77777777" w:rsidR="00F82E9D" w:rsidRPr="007A5275" w:rsidRDefault="00F82E9D" w:rsidP="00F82E9D">
            <w:r w:rsidRPr="007A5275">
              <w:t>2. Ettevõtte  üldandmed</w:t>
            </w:r>
          </w:p>
          <w:p w14:paraId="22B0BAB2" w14:textId="77777777" w:rsidR="00F82E9D" w:rsidRPr="007A5275" w:rsidRDefault="00F82E9D" w:rsidP="00F82E9D">
            <w:r w:rsidRPr="007A5275">
              <w:t>3. Ettevõtte kirjeldus. Äriidee, missioon, visioon ja eesmärgid</w:t>
            </w:r>
          </w:p>
          <w:p w14:paraId="70F70C70" w14:textId="77777777" w:rsidR="00F82E9D" w:rsidRPr="007A5275" w:rsidRDefault="00F82E9D" w:rsidP="00F82E9D">
            <w:r w:rsidRPr="007A5275">
              <w:t>4. Ettevõtluskeskkonna kirjeldus</w:t>
            </w:r>
          </w:p>
          <w:p w14:paraId="50A5135B" w14:textId="77777777" w:rsidR="00F82E9D" w:rsidRPr="007A5275" w:rsidRDefault="00F82E9D" w:rsidP="00F82E9D">
            <w:r w:rsidRPr="007A5275">
              <w:t>5. Tooted ja teenused</w:t>
            </w:r>
          </w:p>
          <w:p w14:paraId="67E46ED6" w14:textId="77777777" w:rsidR="00F82E9D" w:rsidRPr="007A5275" w:rsidRDefault="00F82E9D" w:rsidP="00F82E9D">
            <w:r w:rsidRPr="007A5275">
              <w:t>6. Klient, turg, konkurents</w:t>
            </w:r>
          </w:p>
          <w:p w14:paraId="417CED58" w14:textId="77777777" w:rsidR="00F82E9D" w:rsidRPr="007A5275" w:rsidRDefault="00F82E9D" w:rsidP="00F82E9D">
            <w:r w:rsidRPr="007A5275">
              <w:t>7. Tegevusplaan</w:t>
            </w:r>
          </w:p>
          <w:p w14:paraId="70AA2E7E" w14:textId="77777777" w:rsidR="00F82E9D" w:rsidRPr="007A5275" w:rsidRDefault="00F82E9D" w:rsidP="00F82E9D">
            <w:r w:rsidRPr="007A5275">
              <w:t>8. Riskianalüüs</w:t>
            </w:r>
          </w:p>
          <w:p w14:paraId="4BC69CB2" w14:textId="77777777" w:rsidR="00F82E9D" w:rsidRPr="007A5275" w:rsidRDefault="00F82E9D" w:rsidP="00F82E9D">
            <w:r w:rsidRPr="007A5275">
              <w:t>9. Finantsprognoosid</w:t>
            </w:r>
          </w:p>
          <w:p w14:paraId="1D763B7F" w14:textId="77777777" w:rsidR="00F82E9D" w:rsidRPr="007A5275" w:rsidRDefault="00F82E9D" w:rsidP="00F82E9D"/>
          <w:p w14:paraId="5BD54104" w14:textId="77777777" w:rsidR="00665C1A" w:rsidRPr="007A5275" w:rsidRDefault="00665C1A" w:rsidP="00665C1A">
            <w:pPr>
              <w:rPr>
                <w:rFonts w:cs="Arial"/>
                <w:b/>
                <w:noProof/>
              </w:rPr>
            </w:pPr>
            <w:r w:rsidRPr="007A5275">
              <w:rPr>
                <w:rFonts w:cs="Arial"/>
                <w:b/>
                <w:noProof/>
              </w:rPr>
              <w:t>Mitteabikõlbulikud tegevused</w:t>
            </w:r>
          </w:p>
          <w:p w14:paraId="1F2C140A" w14:textId="77777777" w:rsidR="00665C1A" w:rsidRPr="007A5275" w:rsidRDefault="00665C1A" w:rsidP="00665C1A">
            <w:pPr>
              <w:pStyle w:val="Loendilik"/>
              <w:numPr>
                <w:ilvl w:val="0"/>
                <w:numId w:val="5"/>
              </w:numPr>
              <w:rPr>
                <w:rFonts w:cs="Arial"/>
                <w:noProof/>
                <w:sz w:val="22"/>
                <w:lang w:val="et-EE"/>
              </w:rPr>
            </w:pPr>
            <w:r w:rsidRPr="007A5275">
              <w:rPr>
                <w:rFonts w:cs="Arial"/>
                <w:noProof/>
                <w:sz w:val="22"/>
                <w:lang w:val="et-EE"/>
              </w:rPr>
              <w:t>Investeeringut ette valmistavad tegevused, kui need viiakse ellu eraldiseisva projektina</w:t>
            </w:r>
          </w:p>
          <w:p w14:paraId="79099873" w14:textId="77777777" w:rsidR="00665C1A" w:rsidRPr="007A5275" w:rsidRDefault="00665C1A" w:rsidP="00665C1A">
            <w:pPr>
              <w:pStyle w:val="Loendilik"/>
              <w:numPr>
                <w:ilvl w:val="0"/>
                <w:numId w:val="5"/>
              </w:numPr>
              <w:rPr>
                <w:rFonts w:cs="Arial"/>
                <w:noProof/>
                <w:sz w:val="22"/>
                <w:lang w:val="et-EE"/>
              </w:rPr>
            </w:pPr>
            <w:r w:rsidRPr="007A5275">
              <w:rPr>
                <w:rFonts w:cs="Arial"/>
                <w:noProof/>
                <w:sz w:val="22"/>
                <w:lang w:val="et-EE"/>
              </w:rPr>
              <w:t>Kinnistu ost</w:t>
            </w:r>
          </w:p>
          <w:p w14:paraId="002A654C" w14:textId="77777777" w:rsidR="00665C1A" w:rsidRPr="007A5275" w:rsidRDefault="00665C1A" w:rsidP="00665C1A">
            <w:pPr>
              <w:pStyle w:val="Loendilik"/>
              <w:numPr>
                <w:ilvl w:val="0"/>
                <w:numId w:val="5"/>
              </w:numPr>
              <w:rPr>
                <w:rFonts w:cs="Arial"/>
                <w:noProof/>
                <w:sz w:val="22"/>
                <w:lang w:val="et-EE"/>
              </w:rPr>
            </w:pPr>
            <w:r w:rsidRPr="007A5275">
              <w:rPr>
                <w:rFonts w:cs="Arial"/>
                <w:noProof/>
                <w:sz w:val="22"/>
                <w:lang w:val="et-EE"/>
              </w:rPr>
              <w:t>Projektijuhtimine</w:t>
            </w:r>
          </w:p>
          <w:p w14:paraId="757CCF46" w14:textId="77777777" w:rsidR="00665C1A" w:rsidRPr="007A5275" w:rsidRDefault="00665C1A" w:rsidP="00665C1A">
            <w:pPr>
              <w:pStyle w:val="Loendilik"/>
              <w:numPr>
                <w:ilvl w:val="0"/>
                <w:numId w:val="5"/>
              </w:numPr>
              <w:rPr>
                <w:rFonts w:cs="Arial"/>
                <w:noProof/>
                <w:sz w:val="22"/>
                <w:lang w:val="et-EE"/>
              </w:rPr>
            </w:pPr>
            <w:r w:rsidRPr="007A5275">
              <w:rPr>
                <w:rFonts w:cs="Arial"/>
                <w:noProof/>
                <w:sz w:val="22"/>
                <w:lang w:val="et-EE"/>
              </w:rPr>
              <w:t>Vabatahtliku töö arvestamine</w:t>
            </w:r>
          </w:p>
          <w:p w14:paraId="5028B940" w14:textId="77777777" w:rsidR="00665C1A" w:rsidRPr="007A5275" w:rsidRDefault="00665C1A" w:rsidP="00665C1A">
            <w:pPr>
              <w:pStyle w:val="Loendilik"/>
              <w:numPr>
                <w:ilvl w:val="0"/>
                <w:numId w:val="5"/>
              </w:numPr>
              <w:rPr>
                <w:rFonts w:cs="Arial"/>
                <w:noProof/>
                <w:sz w:val="22"/>
                <w:lang w:val="et-EE"/>
              </w:rPr>
            </w:pPr>
            <w:r w:rsidRPr="007A5275">
              <w:rPr>
                <w:rFonts w:cs="Arial"/>
                <w:noProof/>
                <w:sz w:val="22"/>
                <w:lang w:val="et-EE"/>
              </w:rPr>
              <w:lastRenderedPageBreak/>
              <w:t>Kõik Leader meetme määruse poolt välistatud mitteabikõlblikud tegevused</w:t>
            </w:r>
          </w:p>
          <w:p w14:paraId="4557A80A" w14:textId="77777777" w:rsidR="00665C1A" w:rsidRPr="007A5275" w:rsidRDefault="00665C1A" w:rsidP="00665C1A">
            <w:pPr>
              <w:rPr>
                <w:rFonts w:cs="Arial"/>
                <w:b/>
                <w:noProof/>
              </w:rPr>
            </w:pPr>
          </w:p>
          <w:p w14:paraId="4ED64EAA" w14:textId="77777777" w:rsidR="00665C1A" w:rsidRPr="007A5275" w:rsidRDefault="00665C1A" w:rsidP="00665C1A">
            <w:pPr>
              <w:rPr>
                <w:rFonts w:cs="Arial"/>
                <w:b/>
                <w:noProof/>
              </w:rPr>
            </w:pPr>
            <w:r w:rsidRPr="007A5275">
              <w:rPr>
                <w:rFonts w:cs="Arial"/>
                <w:b/>
                <w:noProof/>
              </w:rPr>
              <w:t>Esitatavad dokumendid</w:t>
            </w:r>
          </w:p>
          <w:p w14:paraId="0E94B118" w14:textId="77777777" w:rsidR="00665C1A" w:rsidRPr="007A5275" w:rsidRDefault="00665C1A" w:rsidP="00665C1A">
            <w:pPr>
              <w:rPr>
                <w:rFonts w:cs="Arial"/>
                <w:b/>
                <w:noProof/>
              </w:rPr>
            </w:pPr>
            <w:r w:rsidRPr="007A5275">
              <w:rPr>
                <w:rFonts w:cs="Arial"/>
                <w:b/>
                <w:noProof/>
              </w:rPr>
              <w:t>1.           Projekt</w:t>
            </w:r>
          </w:p>
          <w:p w14:paraId="795A9751" w14:textId="77777777" w:rsidR="00665C1A" w:rsidRPr="007A5275" w:rsidRDefault="00665C1A" w:rsidP="00665C1A">
            <w:pPr>
              <w:rPr>
                <w:rFonts w:cs="Arial"/>
                <w:b/>
                <w:noProof/>
              </w:rPr>
            </w:pPr>
            <w:r w:rsidRPr="007A5275">
              <w:rPr>
                <w:rFonts w:cs="Arial"/>
                <w:b/>
                <w:noProof/>
              </w:rPr>
              <w:t>2.</w:t>
            </w:r>
            <w:r w:rsidRPr="007A5275">
              <w:rPr>
                <w:rFonts w:cs="Arial"/>
                <w:b/>
                <w:noProof/>
              </w:rPr>
              <w:tab/>
              <w:t>Projekti eelarve / kalkulatsioon Lisa 1</w:t>
            </w:r>
          </w:p>
          <w:p w14:paraId="236C0812" w14:textId="77777777" w:rsidR="00665C1A" w:rsidRPr="007A5275" w:rsidRDefault="00665C1A" w:rsidP="00665C1A">
            <w:pPr>
              <w:rPr>
                <w:rFonts w:cs="Arial"/>
                <w:b/>
                <w:noProof/>
              </w:rPr>
            </w:pPr>
            <w:r w:rsidRPr="007A5275">
              <w:rPr>
                <w:rFonts w:cs="Arial"/>
                <w:b/>
                <w:noProof/>
              </w:rPr>
              <w:t>3.</w:t>
            </w:r>
            <w:r w:rsidRPr="007A5275">
              <w:rPr>
                <w:rFonts w:cs="Arial"/>
                <w:b/>
                <w:noProof/>
              </w:rPr>
              <w:tab/>
              <w:t>Investeeringuobjekti puhul nõutavad dokumendid (ehitusloa koopia, KOV kirjaliku nõusoleku koopia, maa kasutusõigust tõendav dokument, ehitusalased joonised jne vastavalt Maaeluministeeriumi määrusele 23.10.2015 nr 11 (Kohaliku tegevusgrupi toetus ja LEADER-projektitoetus) § 37 lg 4</w:t>
            </w:r>
          </w:p>
          <w:p w14:paraId="027E67F2" w14:textId="77777777" w:rsidR="00665C1A" w:rsidRPr="007A5275" w:rsidRDefault="00665C1A" w:rsidP="00665C1A">
            <w:pPr>
              <w:rPr>
                <w:rFonts w:cs="Arial"/>
                <w:b/>
                <w:noProof/>
              </w:rPr>
            </w:pPr>
            <w:r w:rsidRPr="007A5275">
              <w:rPr>
                <w:rFonts w:cs="Arial"/>
                <w:b/>
                <w:noProof/>
              </w:rPr>
              <w:t>4.         Ehitise puhul  (kui hoone ehitustegevuseks on vajalik ehitusteatis või ehitusluba) peab esitama kavandatava ehitise maksumuse eelarve,  mis on       Microsoft Exceli tarkvaraga töödeldavas vormingus. (PRIA vormil)</w:t>
            </w:r>
          </w:p>
          <w:p w14:paraId="46665461" w14:textId="77777777" w:rsidR="00665C1A" w:rsidRPr="007A5275" w:rsidRDefault="00665C1A" w:rsidP="00665C1A">
            <w:pPr>
              <w:rPr>
                <w:rFonts w:cs="Arial"/>
                <w:b/>
                <w:noProof/>
              </w:rPr>
            </w:pPr>
            <w:r w:rsidRPr="007A5275">
              <w:rPr>
                <w:rFonts w:cs="Arial"/>
                <w:b/>
                <w:noProof/>
              </w:rPr>
              <w:t>4.</w:t>
            </w:r>
            <w:r w:rsidRPr="007A5275">
              <w:rPr>
                <w:rFonts w:cs="Arial"/>
                <w:b/>
                <w:noProof/>
              </w:rPr>
              <w:tab/>
              <w:t xml:space="preserve">Soetuste puhul hinnapakkumuste koopiad (vähemalt kolm võrreldavat pakkumust kui käibemaksuta maksumus ületab 1000 €) </w:t>
            </w:r>
          </w:p>
          <w:p w14:paraId="5EBFE02F" w14:textId="77777777" w:rsidR="00665C1A" w:rsidRPr="007A5275" w:rsidRDefault="00665C1A" w:rsidP="00665C1A">
            <w:pPr>
              <w:rPr>
                <w:rFonts w:cs="Arial"/>
                <w:b/>
                <w:noProof/>
              </w:rPr>
            </w:pPr>
            <w:r w:rsidRPr="007A5275">
              <w:rPr>
                <w:rFonts w:cs="Arial"/>
                <w:b/>
                <w:noProof/>
              </w:rPr>
              <w:t>5.</w:t>
            </w:r>
            <w:r w:rsidRPr="007A5275">
              <w:rPr>
                <w:rFonts w:cs="Arial"/>
                <w:b/>
                <w:noProof/>
              </w:rPr>
              <w:tab/>
              <w:t>Projektijuhi CV (vabas vormis)</w:t>
            </w:r>
          </w:p>
          <w:p w14:paraId="02085ED8" w14:textId="77777777" w:rsidR="00665C1A" w:rsidRPr="007A5275" w:rsidRDefault="00665C1A" w:rsidP="00665C1A">
            <w:pPr>
              <w:rPr>
                <w:rFonts w:cs="Arial"/>
                <w:b/>
                <w:noProof/>
              </w:rPr>
            </w:pPr>
            <w:r w:rsidRPr="007A5275">
              <w:rPr>
                <w:rFonts w:cs="Arial"/>
                <w:b/>
                <w:noProof/>
              </w:rPr>
              <w:t>6.</w:t>
            </w:r>
            <w:r w:rsidRPr="007A5275">
              <w:rPr>
                <w:rFonts w:cs="Arial"/>
                <w:b/>
                <w:noProof/>
              </w:rPr>
              <w:tab/>
              <w:t>Hinnapakkumiste võrdlustabel Lisa 2</w:t>
            </w:r>
          </w:p>
          <w:p w14:paraId="162B29F0" w14:textId="77777777" w:rsidR="00665C1A" w:rsidRPr="007A5275" w:rsidRDefault="00665C1A" w:rsidP="00665C1A">
            <w:pPr>
              <w:rPr>
                <w:rFonts w:cs="Arial"/>
                <w:b/>
                <w:noProof/>
              </w:rPr>
            </w:pPr>
            <w:r w:rsidRPr="007A5275">
              <w:rPr>
                <w:rFonts w:cs="Arial"/>
                <w:b/>
                <w:noProof/>
              </w:rPr>
              <w:t>7.</w:t>
            </w:r>
            <w:r w:rsidRPr="007A5275">
              <w:rPr>
                <w:rFonts w:cs="Arial"/>
                <w:b/>
                <w:noProof/>
              </w:rPr>
              <w:tab/>
              <w:t xml:space="preserve">Projektitegevuste plaan Lisa 3 </w:t>
            </w:r>
          </w:p>
          <w:p w14:paraId="10F488C6" w14:textId="77777777" w:rsidR="00665C1A" w:rsidRPr="007A5275" w:rsidRDefault="00665C1A" w:rsidP="00665C1A">
            <w:pPr>
              <w:rPr>
                <w:rFonts w:cs="Arial"/>
                <w:b/>
                <w:noProof/>
              </w:rPr>
            </w:pPr>
            <w:r w:rsidRPr="007A5275">
              <w:rPr>
                <w:rFonts w:cs="Arial"/>
                <w:b/>
                <w:noProof/>
              </w:rPr>
              <w:t>8.</w:t>
            </w:r>
            <w:r w:rsidRPr="007A5275">
              <w:rPr>
                <w:rFonts w:cs="Arial"/>
                <w:b/>
                <w:noProof/>
              </w:rPr>
              <w:tab/>
              <w:t xml:space="preserve">äriplaan </w:t>
            </w:r>
            <w:r w:rsidR="00F82E9D" w:rsidRPr="007A5275">
              <w:rPr>
                <w:rFonts w:cs="Arial"/>
                <w:b/>
                <w:noProof/>
              </w:rPr>
              <w:t xml:space="preserve">( soovituslik kasutada NVK vormi </w:t>
            </w:r>
            <w:r w:rsidRPr="007A5275">
              <w:rPr>
                <w:rFonts w:cs="Arial"/>
                <w:b/>
                <w:noProof/>
              </w:rPr>
              <w:t>Lisa 4 ja äriplaani o</w:t>
            </w:r>
            <w:r w:rsidR="00F82E9D" w:rsidRPr="007A5275">
              <w:rPr>
                <w:rFonts w:cs="Arial"/>
                <w:b/>
                <w:noProof/>
              </w:rPr>
              <w:t>sana finatsprognoosid)</w:t>
            </w:r>
          </w:p>
          <w:p w14:paraId="102FE155" w14:textId="77777777" w:rsidR="00665C1A" w:rsidRPr="007A5275" w:rsidRDefault="00665C1A" w:rsidP="00665C1A">
            <w:pPr>
              <w:rPr>
                <w:rFonts w:cs="Arial"/>
                <w:b/>
                <w:noProof/>
              </w:rPr>
            </w:pPr>
            <w:r w:rsidRPr="007A5275">
              <w:rPr>
                <w:rFonts w:cs="Arial"/>
                <w:b/>
                <w:noProof/>
              </w:rPr>
              <w:t>9.</w:t>
            </w:r>
            <w:r w:rsidRPr="007A5275">
              <w:rPr>
                <w:rFonts w:cs="Arial"/>
                <w:b/>
                <w:noProof/>
              </w:rPr>
              <w:tab/>
              <w:t xml:space="preserve">Vabaühingust taotlejatele teostatavus/tasuvusanalüüs  </w:t>
            </w:r>
          </w:p>
          <w:p w14:paraId="17E445B6" w14:textId="77777777" w:rsidR="00665C1A" w:rsidRPr="007A5275" w:rsidRDefault="00665C1A" w:rsidP="00665C1A">
            <w:pPr>
              <w:rPr>
                <w:rFonts w:cs="Arial"/>
                <w:b/>
                <w:noProof/>
              </w:rPr>
            </w:pPr>
            <w:r w:rsidRPr="007A5275">
              <w:rPr>
                <w:rFonts w:cs="Arial"/>
                <w:b/>
                <w:noProof/>
              </w:rPr>
              <w:t>NB! Taotlusdokumendid esitatakse e-pria vahendusel!</w:t>
            </w:r>
          </w:p>
          <w:p w14:paraId="2B5303B3" w14:textId="77777777" w:rsidR="00665C1A" w:rsidRPr="007A5275" w:rsidRDefault="00665C1A" w:rsidP="00665C1A">
            <w:pPr>
              <w:rPr>
                <w:rFonts w:cs="Arial"/>
                <w:b/>
                <w:noProof/>
              </w:rPr>
            </w:pPr>
          </w:p>
          <w:p w14:paraId="2AC1C6CA" w14:textId="77777777" w:rsidR="00665C1A" w:rsidRPr="007A5275" w:rsidRDefault="00665C1A" w:rsidP="00665C1A">
            <w:pPr>
              <w:rPr>
                <w:rFonts w:cs="Arial"/>
                <w:noProof/>
              </w:rPr>
            </w:pPr>
          </w:p>
        </w:tc>
      </w:tr>
      <w:tr w:rsidR="00665C1A" w:rsidRPr="007A5275" w14:paraId="6595B6D8"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3AEE5DEA" w14:textId="77777777" w:rsidR="00665C1A" w:rsidRPr="007A5275" w:rsidRDefault="00665C1A" w:rsidP="00665C1A">
            <w:r w:rsidRPr="007A5275">
              <w:lastRenderedPageBreak/>
              <w:t xml:space="preserve">6. Toetuse maksimaalne suurus ja määr </w:t>
            </w:r>
          </w:p>
        </w:tc>
      </w:tr>
      <w:tr w:rsidR="00665C1A" w:rsidRPr="007A5275" w14:paraId="7F7F4527" w14:textId="77777777" w:rsidTr="00294E6C">
        <w:trPr>
          <w:trHeight w:val="178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3B945855" w14:textId="77777777" w:rsidR="00665C1A" w:rsidRPr="007A5275" w:rsidRDefault="00665C1A" w:rsidP="00665C1A">
            <w:pPr>
              <w:numPr>
                <w:ilvl w:val="0"/>
                <w:numId w:val="2"/>
              </w:numPr>
            </w:pPr>
            <w:r w:rsidRPr="007A5275">
              <w:lastRenderedPageBreak/>
              <w:t>Minimaalne toetussumma – 2000 EUR</w:t>
            </w:r>
          </w:p>
          <w:p w14:paraId="450D82E1" w14:textId="77777777" w:rsidR="00665C1A" w:rsidRPr="007A5275" w:rsidRDefault="00665C1A" w:rsidP="00665C1A">
            <w:pPr>
              <w:numPr>
                <w:ilvl w:val="0"/>
                <w:numId w:val="2"/>
              </w:numPr>
            </w:pPr>
            <w:r w:rsidRPr="007A5275">
              <w:t xml:space="preserve">Maksimaalne toetussumma – 40 000 EUR </w:t>
            </w:r>
          </w:p>
          <w:p w14:paraId="3262CEF3" w14:textId="77777777" w:rsidR="00665C1A" w:rsidRPr="007A5275" w:rsidRDefault="00665C1A" w:rsidP="00665C1A">
            <w:pPr>
              <w:rPr>
                <w:b/>
              </w:rPr>
            </w:pPr>
            <w:r w:rsidRPr="007A5275">
              <w:rPr>
                <w:b/>
              </w:rPr>
              <w:t>Toetuse % 60</w:t>
            </w:r>
          </w:p>
          <w:p w14:paraId="13AA189F" w14:textId="77777777" w:rsidR="00665C1A" w:rsidRPr="007A5275" w:rsidRDefault="00665C1A" w:rsidP="00665C1A"/>
        </w:tc>
      </w:tr>
      <w:tr w:rsidR="00665C1A" w:rsidRPr="007A5275" w14:paraId="49AAEA35"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508CEE9D" w14:textId="77777777" w:rsidR="00665C1A" w:rsidRPr="007A5275" w:rsidRDefault="00665C1A" w:rsidP="00665C1A">
            <w:r w:rsidRPr="007A5275">
              <w:t xml:space="preserve">7. Viide sihtvaldkonnale </w:t>
            </w:r>
          </w:p>
        </w:tc>
      </w:tr>
      <w:tr w:rsidR="00665C1A" w:rsidRPr="007A5275" w14:paraId="7B5AE8C5" w14:textId="77777777" w:rsidTr="00294E6C">
        <w:trPr>
          <w:trHeight w:val="664"/>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3CE7BFAE" w14:textId="77777777" w:rsidR="00665C1A" w:rsidRPr="007A5275" w:rsidRDefault="00665C1A" w:rsidP="00665C1A">
            <w:r w:rsidRPr="007A5275">
              <w:t xml:space="preserve">Meede nr 3 panustab sihtvaldkonda 6A: tegevusvaldkondade mitmekesistamise, väikeettevõtete loomise ja arendamise ning töökohtade loomise hõlbustamine. </w:t>
            </w:r>
          </w:p>
          <w:p w14:paraId="21B15A8B" w14:textId="77777777" w:rsidR="00665C1A" w:rsidRPr="007A5275" w:rsidRDefault="00665C1A" w:rsidP="00665C1A">
            <w:r w:rsidRPr="007A5275">
              <w:t xml:space="preserve">Meede nr 3 panustab sihtvaldkonda 3A: toormetootjate konkurentsivõime parandamine nende parema integreerimise abil põllumajanduslike toiduainete tarneahelasse kvaliteedikavade kaudu, mis annavad põllumajandustoodetele lisaväärtuse, kohalike turgude edendamise ja lühikeste tarneahelate ning tootjarühmade ja -organisatsioonide ning tootmisharude vaheliste organisatsioonide kaudu. </w:t>
            </w:r>
            <w:proofErr w:type="spellStart"/>
            <w:r w:rsidRPr="007A5275">
              <w:t>MAKi</w:t>
            </w:r>
            <w:proofErr w:type="spellEnd"/>
            <w:r w:rsidRPr="007A5275">
              <w:t xml:space="preserve"> eesmärgiks on täiendavalt 1,76% põllumajandusliku majapidamise suurem integreerimine toiduahelasse läbi toidukvaliteedi kavade, kohalike turgude ja lühikeste tarneahelate ning tootjarühmade.</w:t>
            </w:r>
          </w:p>
          <w:p w14:paraId="2BEB424A" w14:textId="77777777" w:rsidR="00665C1A" w:rsidRPr="007A5275" w:rsidRDefault="00665C1A" w:rsidP="00665C1A"/>
        </w:tc>
      </w:tr>
      <w:tr w:rsidR="00665C1A" w:rsidRPr="007A5275" w14:paraId="5961ABF8" w14:textId="77777777" w:rsidTr="00294E6C">
        <w:trPr>
          <w:trHeight w:val="705"/>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69A0D03D" w14:textId="77777777" w:rsidR="00665C1A" w:rsidRPr="007A5275" w:rsidRDefault="00665C1A" w:rsidP="00665C1A">
            <w:r w:rsidRPr="007A5275">
              <w:t>8. Euroopa Parlamendi ja nõukogu määruse (EL) nr 1305/2013 artiklis 5 nimetatud prioriteedid, mille eesmärkide saavutamisele strateegia meetme rakendamine enim kaasa aitab</w:t>
            </w:r>
            <w:r w:rsidRPr="007A5275">
              <w:rPr>
                <w:vertAlign w:val="superscript"/>
              </w:rPr>
              <w:t>3</w:t>
            </w:r>
          </w:p>
        </w:tc>
      </w:tr>
      <w:tr w:rsidR="00665C1A" w:rsidRPr="007A5275" w14:paraId="746BC04B" w14:textId="77777777" w:rsidTr="00294E6C">
        <w:trPr>
          <w:trHeight w:val="854"/>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130F33F2" w14:textId="77777777" w:rsidR="00665C1A" w:rsidRPr="007A5275" w:rsidRDefault="00665C1A" w:rsidP="00665C1A">
            <w:r w:rsidRPr="007A5275">
              <w:t>NVK meede nr 3 vastab Maaelu Arengu Euroopa Põllumajandusfondi (EAFRD) prioriteedile nr 6: sotsiaalse kaasamise, vaesuse vähendamise ja maapiirkondade majandusliku arengu edendamine ja  Meede nr 3  EAFRD prioriteedile nr 3: toiduahela korraldamise, sealhulgas põllumajandustoodete töötlemise ja turustamise, loomade heaolu ja riskijuhtimise edendamine põllumajanduses.</w:t>
            </w:r>
          </w:p>
          <w:p w14:paraId="49487F24" w14:textId="77777777" w:rsidR="00665C1A" w:rsidRPr="007A5275" w:rsidRDefault="00665C1A" w:rsidP="00665C1A">
            <w:r w:rsidRPr="007A5275">
              <w:t>Abikõlbulikud tegevused vastavalt Euroopa Parlamendi ja Nõukogu määruse nr 1305/2013 artiklitele nr 17, 19 ja 20</w:t>
            </w:r>
          </w:p>
          <w:p w14:paraId="7D4252B4" w14:textId="77777777" w:rsidR="00665C1A" w:rsidRPr="007A5275" w:rsidRDefault="00665C1A" w:rsidP="00665C1A"/>
        </w:tc>
      </w:tr>
      <w:tr w:rsidR="00665C1A" w:rsidRPr="007A5275" w14:paraId="402903F9"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64BCF5A7" w14:textId="77777777" w:rsidR="00665C1A" w:rsidRPr="007A5275" w:rsidRDefault="00665C1A" w:rsidP="00665C1A">
            <w:r w:rsidRPr="007A5275">
              <w:t>9. Viide arengukava meetmele, kui strateegia meede sellega kattub</w:t>
            </w:r>
          </w:p>
        </w:tc>
      </w:tr>
      <w:tr w:rsidR="00665C1A" w:rsidRPr="007A5275" w14:paraId="54EEDBA6" w14:textId="77777777" w:rsidTr="00294E6C">
        <w:trPr>
          <w:trHeight w:val="814"/>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008A4E6A" w14:textId="77777777" w:rsidR="00665C1A" w:rsidRPr="007A5275" w:rsidRDefault="00665C1A" w:rsidP="00665C1A">
            <w:r w:rsidRPr="007A5275">
              <w:t> </w:t>
            </w:r>
          </w:p>
        </w:tc>
      </w:tr>
      <w:tr w:rsidR="00665C1A" w:rsidRPr="007A5275" w14:paraId="7EB2C107"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6A6D5069" w14:textId="77777777" w:rsidR="00665C1A" w:rsidRPr="007A5275" w:rsidRDefault="00665C1A" w:rsidP="00665C1A">
            <w:r w:rsidRPr="007A5275">
              <w:t>10. Strateegia meetme indikaatorid ja sihttasemed</w:t>
            </w:r>
          </w:p>
        </w:tc>
      </w:tr>
      <w:tr w:rsidR="00665C1A" w:rsidRPr="007A5275" w14:paraId="746443D0" w14:textId="77777777" w:rsidTr="00294E6C">
        <w:trPr>
          <w:trHeight w:val="142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2AA43789" w14:textId="77777777" w:rsidR="00665C1A" w:rsidRPr="007A5275" w:rsidRDefault="00665C1A" w:rsidP="00665C1A">
            <w:pPr>
              <w:rPr>
                <w:b/>
              </w:rPr>
            </w:pPr>
            <w:r w:rsidRPr="007A5275">
              <w:lastRenderedPageBreak/>
              <w:t xml:space="preserve">  </w:t>
            </w:r>
            <w:r w:rsidRPr="007A5275">
              <w:rPr>
                <w:b/>
              </w:rPr>
              <w:t>Väljundmõõdikud ja soovitud sihttasemed:</w:t>
            </w:r>
          </w:p>
          <w:p w14:paraId="78F33E56" w14:textId="77777777" w:rsidR="00665C1A" w:rsidRPr="007A5275" w:rsidRDefault="00665C1A" w:rsidP="00665C1A">
            <w:pPr>
              <w:numPr>
                <w:ilvl w:val="0"/>
                <w:numId w:val="9"/>
              </w:numPr>
            </w:pPr>
            <w:r w:rsidRPr="007A5275">
              <w:t>Väljundmõõdikud ja soovitud sihttasemed:</w:t>
            </w:r>
          </w:p>
          <w:p w14:paraId="26AB5298" w14:textId="77777777" w:rsidR="00665C1A" w:rsidRPr="007A5275" w:rsidRDefault="00665C1A" w:rsidP="00665C1A">
            <w:pPr>
              <w:numPr>
                <w:ilvl w:val="0"/>
                <w:numId w:val="9"/>
              </w:numPr>
            </w:pPr>
            <w:r w:rsidRPr="007A5275">
              <w:t>uute toodete ja teenuste arv  – 13;</w:t>
            </w:r>
          </w:p>
          <w:p w14:paraId="158C53AF" w14:textId="77777777" w:rsidR="00665C1A" w:rsidRPr="007A5275" w:rsidRDefault="00665C1A" w:rsidP="00665C1A">
            <w:pPr>
              <w:numPr>
                <w:ilvl w:val="0"/>
                <w:numId w:val="9"/>
              </w:numPr>
            </w:pPr>
            <w:r w:rsidRPr="007A5275">
              <w:t>toetatud projektide arv strateegia perioodi jooksul – 20.</w:t>
            </w:r>
          </w:p>
          <w:p w14:paraId="43731879" w14:textId="77777777" w:rsidR="00665C1A" w:rsidRPr="007A5275" w:rsidRDefault="00665C1A" w:rsidP="00665C1A">
            <w:pPr>
              <w:rPr>
                <w:b/>
              </w:rPr>
            </w:pPr>
          </w:p>
          <w:p w14:paraId="317EA0C4" w14:textId="77777777" w:rsidR="00665C1A" w:rsidRPr="007A5275" w:rsidRDefault="00665C1A" w:rsidP="00665C1A">
            <w:pPr>
              <w:rPr>
                <w:b/>
              </w:rPr>
            </w:pPr>
            <w:r w:rsidRPr="007A5275">
              <w:rPr>
                <w:b/>
              </w:rPr>
              <w:t>Tulemusmõõdik ja soovitud sihttase:</w:t>
            </w:r>
          </w:p>
          <w:p w14:paraId="61EA4BA1" w14:textId="77777777" w:rsidR="00665C1A" w:rsidRPr="007A5275" w:rsidRDefault="00665C1A" w:rsidP="00665C1A">
            <w:pPr>
              <w:numPr>
                <w:ilvl w:val="0"/>
                <w:numId w:val="10"/>
              </w:numPr>
            </w:pPr>
            <w:r w:rsidRPr="007A5275">
              <w:t>perioodi jooksul loodud töökohtade arv – 10.</w:t>
            </w:r>
          </w:p>
        </w:tc>
      </w:tr>
      <w:tr w:rsidR="00665C1A" w:rsidRPr="007A5275" w14:paraId="6F067CAB"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458A8B15" w14:textId="77777777" w:rsidR="00665C1A" w:rsidRPr="007A5275" w:rsidRDefault="00665C1A" w:rsidP="00665C1A">
            <w:r w:rsidRPr="007A5275">
              <w:t xml:space="preserve">11.Projektitoetuse taotluste hindamiskriteeriumid </w:t>
            </w:r>
          </w:p>
        </w:tc>
      </w:tr>
      <w:tr w:rsidR="00665C1A" w:rsidRPr="007A5275" w14:paraId="71B81485" w14:textId="77777777" w:rsidTr="00294E6C">
        <w:trPr>
          <w:trHeight w:val="141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66E9965E" w14:textId="77777777" w:rsidR="00665C1A" w:rsidRPr="007A5275" w:rsidRDefault="00665C1A" w:rsidP="00665C1A">
            <w:pPr>
              <w:rPr>
                <w:b/>
              </w:rPr>
            </w:pPr>
            <w:r w:rsidRPr="007A5275">
              <w:t xml:space="preserve">  </w:t>
            </w:r>
            <w:r w:rsidRPr="007A5275">
              <w:rPr>
                <w:b/>
              </w:rPr>
              <w:t>Taotluste hindamise aluseks on kriteeriumid, mis jagunevad kaheks plokiks:</w:t>
            </w:r>
          </w:p>
          <w:p w14:paraId="2A3A83DE" w14:textId="77777777" w:rsidR="00665C1A" w:rsidRPr="007A5275" w:rsidRDefault="00665C1A" w:rsidP="00665C1A">
            <w:pPr>
              <w:numPr>
                <w:ilvl w:val="0"/>
                <w:numId w:val="11"/>
              </w:numPr>
            </w:pPr>
            <w:r w:rsidRPr="007A5275">
              <w:t xml:space="preserve">Projekti </w:t>
            </w:r>
            <w:r w:rsidRPr="007A5275">
              <w:rPr>
                <w:b/>
              </w:rPr>
              <w:t>mõjuga</w:t>
            </w:r>
            <w:r w:rsidRPr="007A5275">
              <w:t xml:space="preserve"> seotud kriteeriumid (osakaal 75% mõlemast plokist):</w:t>
            </w:r>
          </w:p>
          <w:p w14:paraId="21E1AED2" w14:textId="77777777" w:rsidR="00665C1A" w:rsidRPr="007A5275" w:rsidRDefault="00665C1A" w:rsidP="00665C1A">
            <w:pPr>
              <w:numPr>
                <w:ilvl w:val="1"/>
                <w:numId w:val="11"/>
              </w:numPr>
            </w:pPr>
            <w:r w:rsidRPr="007A5275">
              <w:t>Projekti põhjendatus ja seos Nelja Valla Kogu strateegiaga (20%);</w:t>
            </w:r>
          </w:p>
          <w:p w14:paraId="69FC7997" w14:textId="77777777" w:rsidR="00665C1A" w:rsidRPr="007A5275" w:rsidRDefault="00665C1A" w:rsidP="00665C1A">
            <w:pPr>
              <w:numPr>
                <w:ilvl w:val="1"/>
                <w:numId w:val="11"/>
              </w:numPr>
            </w:pPr>
            <w:r w:rsidRPr="007A5275">
              <w:t>Projekti seos kohaliku omavalitsuse, kandi või küla arengukavaga (10%);</w:t>
            </w:r>
          </w:p>
          <w:p w14:paraId="15D184C1" w14:textId="77777777" w:rsidR="00665C1A" w:rsidRPr="007A5275" w:rsidRDefault="00665C1A" w:rsidP="00665C1A">
            <w:pPr>
              <w:numPr>
                <w:ilvl w:val="1"/>
                <w:numId w:val="11"/>
              </w:numPr>
            </w:pPr>
            <w:r w:rsidRPr="007A5275">
              <w:t>Projekti panus meetme indikaatorite sihttasemete täitmisesse (10%);</w:t>
            </w:r>
          </w:p>
          <w:p w14:paraId="21DE8CFF" w14:textId="77777777" w:rsidR="00665C1A" w:rsidRPr="007A5275" w:rsidRDefault="00665C1A" w:rsidP="00665C1A">
            <w:pPr>
              <w:numPr>
                <w:ilvl w:val="1"/>
                <w:numId w:val="11"/>
              </w:numPr>
            </w:pPr>
            <w:r w:rsidRPr="007A5275">
              <w:t>Projekti jätkusuutlikkus (15%);</w:t>
            </w:r>
          </w:p>
          <w:p w14:paraId="71D3E4E8" w14:textId="77777777" w:rsidR="00665C1A" w:rsidRPr="007A5275" w:rsidRDefault="00665C1A" w:rsidP="00665C1A">
            <w:pPr>
              <w:numPr>
                <w:ilvl w:val="1"/>
                <w:numId w:val="11"/>
              </w:numPr>
            </w:pPr>
            <w:r w:rsidRPr="007A5275">
              <w:t>Koostöö (10%);</w:t>
            </w:r>
          </w:p>
          <w:p w14:paraId="6901830D" w14:textId="77777777" w:rsidR="00665C1A" w:rsidRPr="007A5275" w:rsidRDefault="00665C1A" w:rsidP="00665C1A">
            <w:pPr>
              <w:numPr>
                <w:ilvl w:val="1"/>
                <w:numId w:val="11"/>
              </w:numPr>
            </w:pPr>
            <w:r w:rsidRPr="007A5275">
              <w:t>Uuenduslikkus (10%).</w:t>
            </w:r>
          </w:p>
          <w:p w14:paraId="7A0D83C7" w14:textId="77777777" w:rsidR="00665C1A" w:rsidRPr="007A5275" w:rsidRDefault="00665C1A" w:rsidP="00665C1A"/>
          <w:p w14:paraId="7385655F" w14:textId="77777777" w:rsidR="00665C1A" w:rsidRPr="007A5275" w:rsidRDefault="00665C1A" w:rsidP="00665C1A">
            <w:pPr>
              <w:numPr>
                <w:ilvl w:val="0"/>
                <w:numId w:val="11"/>
              </w:numPr>
            </w:pPr>
            <w:r w:rsidRPr="007A5275">
              <w:t xml:space="preserve">Projekti </w:t>
            </w:r>
            <w:r w:rsidRPr="007A5275">
              <w:rPr>
                <w:b/>
              </w:rPr>
              <w:t>kvaliteediga</w:t>
            </w:r>
            <w:r w:rsidRPr="007A5275">
              <w:t xml:space="preserve"> seotud kriteeriumid (osakaal 25% mõlemast plokist):</w:t>
            </w:r>
          </w:p>
          <w:p w14:paraId="5F8EE5EB" w14:textId="77777777" w:rsidR="00665C1A" w:rsidRPr="007A5275" w:rsidRDefault="00665C1A" w:rsidP="00665C1A">
            <w:pPr>
              <w:numPr>
                <w:ilvl w:val="1"/>
                <w:numId w:val="11"/>
              </w:numPr>
            </w:pPr>
            <w:r w:rsidRPr="007A5275">
              <w:t>Projekti üldine kvaliteet (10%);</w:t>
            </w:r>
          </w:p>
          <w:p w14:paraId="081764AE" w14:textId="77777777" w:rsidR="00665C1A" w:rsidRPr="007A5275" w:rsidRDefault="00665C1A" w:rsidP="00665C1A">
            <w:pPr>
              <w:numPr>
                <w:ilvl w:val="1"/>
                <w:numId w:val="11"/>
              </w:numPr>
            </w:pPr>
            <w:r w:rsidRPr="007A5275">
              <w:t>Projekti kulude põhjendatus (10%);</w:t>
            </w:r>
          </w:p>
          <w:p w14:paraId="047E27CE" w14:textId="77777777" w:rsidR="00665C1A" w:rsidRPr="007A5275" w:rsidRDefault="00665C1A" w:rsidP="00665C1A">
            <w:pPr>
              <w:numPr>
                <w:ilvl w:val="1"/>
                <w:numId w:val="11"/>
              </w:numPr>
            </w:pPr>
            <w:r w:rsidRPr="007A5275">
              <w:lastRenderedPageBreak/>
              <w:t>Taotleja taust, sh varasem kogemus ja olemasolevad kompetentsid, võimekus projekti ellu viimiseks (5%).</w:t>
            </w:r>
          </w:p>
          <w:p w14:paraId="76C9ACF9" w14:textId="77777777" w:rsidR="00665C1A" w:rsidRPr="007A5275" w:rsidRDefault="00665C1A" w:rsidP="00665C1A"/>
          <w:p w14:paraId="31FDD3EE" w14:textId="77777777" w:rsidR="00665C1A" w:rsidRPr="007A5275" w:rsidRDefault="00665C1A" w:rsidP="00665C1A">
            <w:r w:rsidRPr="007A5275">
              <w:t>Taotlusi hinnatakse 4-palli süsteemis, kus 4 tähistab väga head, 3 rahuldavat, 2 kesist ja 1 puudulikku. Hindamiskriteeriume on täpsemalt kirjeldatud MTÜ Nelja Valla Kogu strateegias 2015-2020 tabel nr 7 ja dokumendis „MTÜ Nelja Valla Kogu Leader Meetme raames antava projektitaotluste menetlemise ja hindamise kord“.</w:t>
            </w:r>
          </w:p>
        </w:tc>
      </w:tr>
      <w:tr w:rsidR="00665C1A" w:rsidRPr="007A5275" w14:paraId="30350EA9" w14:textId="77777777" w:rsidTr="00665C1A">
        <w:trPr>
          <w:trHeight w:val="270"/>
        </w:trPr>
        <w:tc>
          <w:tcPr>
            <w:tcW w:w="2031" w:type="pct"/>
            <w:tcBorders>
              <w:top w:val="nil"/>
              <w:left w:val="nil"/>
              <w:bottom w:val="nil"/>
              <w:right w:val="nil"/>
            </w:tcBorders>
            <w:shd w:val="clear" w:color="auto" w:fill="auto"/>
            <w:noWrap/>
            <w:hideMark/>
          </w:tcPr>
          <w:p w14:paraId="3DF821F6" w14:textId="77777777" w:rsidR="00665C1A" w:rsidRPr="007A5275" w:rsidRDefault="00665C1A" w:rsidP="00665C1A"/>
        </w:tc>
        <w:tc>
          <w:tcPr>
            <w:tcW w:w="2210" w:type="pct"/>
            <w:tcBorders>
              <w:top w:val="nil"/>
              <w:left w:val="nil"/>
              <w:bottom w:val="nil"/>
              <w:right w:val="nil"/>
            </w:tcBorders>
            <w:shd w:val="clear" w:color="auto" w:fill="auto"/>
            <w:noWrap/>
            <w:hideMark/>
          </w:tcPr>
          <w:p w14:paraId="733BA6B7" w14:textId="77777777" w:rsidR="00665C1A" w:rsidRPr="007A5275" w:rsidRDefault="00665C1A" w:rsidP="00665C1A"/>
        </w:tc>
        <w:tc>
          <w:tcPr>
            <w:tcW w:w="115" w:type="pct"/>
            <w:tcBorders>
              <w:top w:val="nil"/>
              <w:left w:val="nil"/>
              <w:bottom w:val="nil"/>
              <w:right w:val="nil"/>
            </w:tcBorders>
            <w:shd w:val="clear" w:color="auto" w:fill="auto"/>
            <w:noWrap/>
            <w:hideMark/>
          </w:tcPr>
          <w:p w14:paraId="5277BE34" w14:textId="77777777" w:rsidR="00665C1A" w:rsidRPr="007A5275" w:rsidRDefault="00665C1A" w:rsidP="00665C1A"/>
        </w:tc>
        <w:tc>
          <w:tcPr>
            <w:tcW w:w="115" w:type="pct"/>
            <w:tcBorders>
              <w:top w:val="nil"/>
              <w:left w:val="nil"/>
              <w:bottom w:val="nil"/>
              <w:right w:val="nil"/>
            </w:tcBorders>
            <w:shd w:val="clear" w:color="auto" w:fill="auto"/>
            <w:noWrap/>
            <w:hideMark/>
          </w:tcPr>
          <w:p w14:paraId="56C8B751" w14:textId="77777777" w:rsidR="00665C1A" w:rsidRPr="007A5275" w:rsidRDefault="00665C1A" w:rsidP="00665C1A"/>
        </w:tc>
        <w:tc>
          <w:tcPr>
            <w:tcW w:w="115" w:type="pct"/>
            <w:tcBorders>
              <w:top w:val="nil"/>
              <w:left w:val="nil"/>
              <w:bottom w:val="nil"/>
              <w:right w:val="nil"/>
            </w:tcBorders>
            <w:shd w:val="clear" w:color="auto" w:fill="auto"/>
            <w:noWrap/>
            <w:hideMark/>
          </w:tcPr>
          <w:p w14:paraId="6D2D83E0" w14:textId="77777777" w:rsidR="00665C1A" w:rsidRPr="007A5275" w:rsidRDefault="00665C1A" w:rsidP="00665C1A"/>
        </w:tc>
        <w:tc>
          <w:tcPr>
            <w:tcW w:w="115" w:type="pct"/>
            <w:tcBorders>
              <w:top w:val="nil"/>
              <w:left w:val="nil"/>
              <w:bottom w:val="nil"/>
              <w:right w:val="nil"/>
            </w:tcBorders>
            <w:shd w:val="clear" w:color="auto" w:fill="auto"/>
            <w:noWrap/>
            <w:hideMark/>
          </w:tcPr>
          <w:p w14:paraId="06292655" w14:textId="77777777" w:rsidR="00665C1A" w:rsidRPr="007A5275" w:rsidRDefault="00665C1A" w:rsidP="00665C1A"/>
        </w:tc>
        <w:tc>
          <w:tcPr>
            <w:tcW w:w="115" w:type="pct"/>
            <w:tcBorders>
              <w:top w:val="nil"/>
              <w:left w:val="nil"/>
              <w:bottom w:val="nil"/>
              <w:right w:val="nil"/>
            </w:tcBorders>
            <w:shd w:val="clear" w:color="auto" w:fill="auto"/>
            <w:noWrap/>
            <w:hideMark/>
          </w:tcPr>
          <w:p w14:paraId="73B04B64" w14:textId="77777777" w:rsidR="00665C1A" w:rsidRPr="007A5275" w:rsidRDefault="00665C1A" w:rsidP="00665C1A"/>
        </w:tc>
        <w:tc>
          <w:tcPr>
            <w:tcW w:w="116" w:type="pct"/>
            <w:tcBorders>
              <w:top w:val="nil"/>
              <w:left w:val="nil"/>
              <w:bottom w:val="nil"/>
              <w:right w:val="nil"/>
            </w:tcBorders>
            <w:shd w:val="clear" w:color="auto" w:fill="auto"/>
            <w:noWrap/>
            <w:hideMark/>
          </w:tcPr>
          <w:p w14:paraId="4D49243A" w14:textId="77777777" w:rsidR="00665C1A" w:rsidRPr="007A5275" w:rsidRDefault="00665C1A" w:rsidP="00665C1A"/>
        </w:tc>
        <w:tc>
          <w:tcPr>
            <w:tcW w:w="68" w:type="pct"/>
            <w:tcBorders>
              <w:top w:val="nil"/>
              <w:left w:val="nil"/>
              <w:bottom w:val="nil"/>
              <w:right w:val="nil"/>
            </w:tcBorders>
            <w:shd w:val="clear" w:color="auto" w:fill="auto"/>
            <w:noWrap/>
            <w:hideMark/>
          </w:tcPr>
          <w:p w14:paraId="09FFAA4D" w14:textId="77777777" w:rsidR="00665C1A" w:rsidRPr="007A5275" w:rsidRDefault="00665C1A" w:rsidP="00665C1A"/>
        </w:tc>
      </w:tr>
      <w:tr w:rsidR="00665C1A" w:rsidRPr="007A5275" w14:paraId="4D73CC8A" w14:textId="77777777" w:rsidTr="00665C1A">
        <w:trPr>
          <w:trHeight w:val="285"/>
        </w:trPr>
        <w:tc>
          <w:tcPr>
            <w:tcW w:w="2031" w:type="pct"/>
            <w:tcBorders>
              <w:top w:val="single" w:sz="4" w:space="0" w:color="auto"/>
              <w:left w:val="nil"/>
              <w:bottom w:val="nil"/>
              <w:right w:val="nil"/>
            </w:tcBorders>
            <w:shd w:val="clear" w:color="000000" w:fill="FFFFFF"/>
            <w:noWrap/>
            <w:hideMark/>
          </w:tcPr>
          <w:p w14:paraId="7E803631" w14:textId="77777777" w:rsidR="00665C1A" w:rsidRPr="007A5275" w:rsidRDefault="00665C1A" w:rsidP="00665C1A">
            <w:r w:rsidRPr="007A5275">
              <w:t>¹</w:t>
            </w:r>
          </w:p>
        </w:tc>
        <w:tc>
          <w:tcPr>
            <w:tcW w:w="2325" w:type="pct"/>
            <w:gridSpan w:val="2"/>
            <w:tcBorders>
              <w:top w:val="single" w:sz="4" w:space="0" w:color="auto"/>
              <w:left w:val="nil"/>
              <w:bottom w:val="nil"/>
              <w:right w:val="nil"/>
            </w:tcBorders>
            <w:shd w:val="clear" w:color="000000" w:fill="FFFFFF"/>
            <w:noWrap/>
            <w:vAlign w:val="center"/>
            <w:hideMark/>
          </w:tcPr>
          <w:p w14:paraId="17ABFCF9" w14:textId="77777777" w:rsidR="00665C1A" w:rsidRPr="007A5275" w:rsidRDefault="00665C1A" w:rsidP="00665C1A">
            <w:r w:rsidRPr="007A5275">
              <w:t>Täidetakse iga strateegia meetme kohta eraldi</w:t>
            </w:r>
          </w:p>
        </w:tc>
        <w:tc>
          <w:tcPr>
            <w:tcW w:w="115" w:type="pct"/>
            <w:tcBorders>
              <w:top w:val="nil"/>
              <w:left w:val="nil"/>
              <w:bottom w:val="nil"/>
              <w:right w:val="nil"/>
            </w:tcBorders>
            <w:shd w:val="clear" w:color="000000" w:fill="FFFFFF"/>
            <w:noWrap/>
            <w:hideMark/>
          </w:tcPr>
          <w:p w14:paraId="3C14AA02" w14:textId="77777777" w:rsidR="00665C1A" w:rsidRPr="007A5275" w:rsidRDefault="00665C1A" w:rsidP="00665C1A">
            <w:r w:rsidRPr="007A5275">
              <w:t> </w:t>
            </w:r>
          </w:p>
        </w:tc>
        <w:tc>
          <w:tcPr>
            <w:tcW w:w="115" w:type="pct"/>
            <w:tcBorders>
              <w:top w:val="nil"/>
              <w:left w:val="nil"/>
              <w:bottom w:val="nil"/>
              <w:right w:val="nil"/>
            </w:tcBorders>
            <w:shd w:val="clear" w:color="000000" w:fill="FFFFFF"/>
            <w:noWrap/>
            <w:hideMark/>
          </w:tcPr>
          <w:p w14:paraId="7FCAE87D" w14:textId="77777777" w:rsidR="00665C1A" w:rsidRPr="007A5275" w:rsidRDefault="00665C1A" w:rsidP="00665C1A">
            <w:r w:rsidRPr="007A5275">
              <w:t> </w:t>
            </w:r>
          </w:p>
        </w:tc>
        <w:tc>
          <w:tcPr>
            <w:tcW w:w="115" w:type="pct"/>
            <w:tcBorders>
              <w:top w:val="nil"/>
              <w:left w:val="nil"/>
              <w:bottom w:val="nil"/>
              <w:right w:val="nil"/>
            </w:tcBorders>
            <w:shd w:val="clear" w:color="000000" w:fill="FFFFFF"/>
            <w:noWrap/>
            <w:hideMark/>
          </w:tcPr>
          <w:p w14:paraId="2645F47B" w14:textId="77777777" w:rsidR="00665C1A" w:rsidRPr="007A5275" w:rsidRDefault="00665C1A" w:rsidP="00665C1A">
            <w:r w:rsidRPr="007A5275">
              <w:t> </w:t>
            </w:r>
          </w:p>
        </w:tc>
        <w:tc>
          <w:tcPr>
            <w:tcW w:w="115" w:type="pct"/>
            <w:tcBorders>
              <w:top w:val="nil"/>
              <w:left w:val="nil"/>
              <w:bottom w:val="nil"/>
              <w:right w:val="nil"/>
            </w:tcBorders>
            <w:shd w:val="clear" w:color="000000" w:fill="FFFFFF"/>
            <w:noWrap/>
            <w:hideMark/>
          </w:tcPr>
          <w:p w14:paraId="64C0C9E7" w14:textId="77777777" w:rsidR="00665C1A" w:rsidRPr="007A5275" w:rsidRDefault="00665C1A" w:rsidP="00665C1A">
            <w:r w:rsidRPr="007A5275">
              <w:t> </w:t>
            </w:r>
          </w:p>
        </w:tc>
        <w:tc>
          <w:tcPr>
            <w:tcW w:w="116" w:type="pct"/>
            <w:tcBorders>
              <w:top w:val="nil"/>
              <w:left w:val="nil"/>
              <w:bottom w:val="nil"/>
              <w:right w:val="nil"/>
            </w:tcBorders>
            <w:shd w:val="clear" w:color="000000" w:fill="FFFFFF"/>
            <w:noWrap/>
            <w:hideMark/>
          </w:tcPr>
          <w:p w14:paraId="530E9E19" w14:textId="77777777" w:rsidR="00665C1A" w:rsidRPr="007A5275" w:rsidRDefault="00665C1A" w:rsidP="00665C1A">
            <w:r w:rsidRPr="007A5275">
              <w:t> </w:t>
            </w:r>
          </w:p>
        </w:tc>
        <w:tc>
          <w:tcPr>
            <w:tcW w:w="68" w:type="pct"/>
            <w:tcBorders>
              <w:top w:val="nil"/>
              <w:left w:val="nil"/>
              <w:bottom w:val="nil"/>
              <w:right w:val="nil"/>
            </w:tcBorders>
            <w:shd w:val="clear" w:color="000000" w:fill="FFFFFF"/>
            <w:noWrap/>
            <w:hideMark/>
          </w:tcPr>
          <w:p w14:paraId="72D41698" w14:textId="77777777" w:rsidR="00665C1A" w:rsidRPr="007A5275" w:rsidRDefault="00665C1A" w:rsidP="00665C1A">
            <w:r w:rsidRPr="007A5275">
              <w:t> </w:t>
            </w:r>
          </w:p>
        </w:tc>
      </w:tr>
      <w:tr w:rsidR="00665C1A" w:rsidRPr="007A5275" w14:paraId="298F0DE8" w14:textId="77777777" w:rsidTr="00665C1A">
        <w:trPr>
          <w:trHeight w:val="780"/>
        </w:trPr>
        <w:tc>
          <w:tcPr>
            <w:tcW w:w="2031" w:type="pct"/>
            <w:tcBorders>
              <w:top w:val="nil"/>
              <w:left w:val="nil"/>
              <w:bottom w:val="nil"/>
              <w:right w:val="nil"/>
            </w:tcBorders>
            <w:shd w:val="clear" w:color="000000" w:fill="FFFFFF"/>
            <w:noWrap/>
            <w:hideMark/>
          </w:tcPr>
          <w:p w14:paraId="6E7AA5C5" w14:textId="77777777" w:rsidR="00665C1A" w:rsidRPr="007A5275" w:rsidRDefault="00665C1A" w:rsidP="00665C1A">
            <w:r w:rsidRPr="007A5275">
              <w:t>²</w:t>
            </w:r>
          </w:p>
        </w:tc>
        <w:tc>
          <w:tcPr>
            <w:tcW w:w="2969" w:type="pct"/>
            <w:gridSpan w:val="8"/>
            <w:tcBorders>
              <w:top w:val="nil"/>
              <w:left w:val="nil"/>
              <w:bottom w:val="nil"/>
              <w:right w:val="nil"/>
            </w:tcBorders>
            <w:shd w:val="clear" w:color="000000" w:fill="FFFFFF"/>
            <w:hideMark/>
          </w:tcPr>
          <w:p w14:paraId="72365606" w14:textId="77777777" w:rsidR="00665C1A" w:rsidRPr="007A5275" w:rsidRDefault="00665C1A" w:rsidP="00665C1A">
            <w:r w:rsidRPr="007A5275">
              <w:t xml:space="preserve">Märgitakse, kas strateegia meede võib sisaldada ka investeeringuid. Eraldi tuuakse välja investeeringud , mille puhul on lubatud taotleda projektitoetust mitmes etapis ja võtta investeering sihtotstarbelisse kasutusse § 42 lõike 7 punktis 1 sätestatust pikema tähtaja jooksul.  Märgitakse, kas strateegia meede võib sisaldada ka investeeringuid. </w:t>
            </w:r>
          </w:p>
        </w:tc>
      </w:tr>
      <w:tr w:rsidR="00665C1A" w:rsidRPr="007A5275" w14:paraId="083B54AF" w14:textId="77777777" w:rsidTr="00665C1A">
        <w:trPr>
          <w:trHeight w:val="330"/>
        </w:trPr>
        <w:tc>
          <w:tcPr>
            <w:tcW w:w="4586" w:type="pct"/>
            <w:gridSpan w:val="5"/>
            <w:tcBorders>
              <w:top w:val="nil"/>
              <w:left w:val="nil"/>
              <w:bottom w:val="nil"/>
              <w:right w:val="nil"/>
            </w:tcBorders>
            <w:shd w:val="clear" w:color="000000" w:fill="FFFFFF"/>
            <w:noWrap/>
            <w:hideMark/>
          </w:tcPr>
          <w:p w14:paraId="70153C25" w14:textId="77777777" w:rsidR="00665C1A" w:rsidRPr="007A5275" w:rsidRDefault="00665C1A" w:rsidP="00665C1A">
            <w:r w:rsidRPr="007A5275">
              <w:rPr>
                <w:vertAlign w:val="superscript"/>
              </w:rPr>
              <w:t xml:space="preserve">3      </w:t>
            </w:r>
            <w:r w:rsidRPr="007A5275">
              <w:t>Euroopa Parlamendi ja nõukogu määrus (EL) nr 1305/2013</w:t>
            </w:r>
          </w:p>
        </w:tc>
        <w:tc>
          <w:tcPr>
            <w:tcW w:w="115" w:type="pct"/>
            <w:tcBorders>
              <w:top w:val="nil"/>
              <w:left w:val="nil"/>
              <w:bottom w:val="nil"/>
              <w:right w:val="nil"/>
            </w:tcBorders>
            <w:shd w:val="clear" w:color="000000" w:fill="FFFFFF"/>
            <w:noWrap/>
            <w:hideMark/>
          </w:tcPr>
          <w:p w14:paraId="79B1407D" w14:textId="77777777" w:rsidR="00665C1A" w:rsidRPr="007A5275" w:rsidRDefault="00665C1A" w:rsidP="00665C1A">
            <w:r w:rsidRPr="007A5275">
              <w:t> </w:t>
            </w:r>
          </w:p>
        </w:tc>
        <w:tc>
          <w:tcPr>
            <w:tcW w:w="115" w:type="pct"/>
            <w:tcBorders>
              <w:top w:val="nil"/>
              <w:left w:val="nil"/>
              <w:bottom w:val="nil"/>
              <w:right w:val="nil"/>
            </w:tcBorders>
            <w:shd w:val="clear" w:color="000000" w:fill="FFFFFF"/>
            <w:noWrap/>
            <w:hideMark/>
          </w:tcPr>
          <w:p w14:paraId="2003EEBA" w14:textId="77777777" w:rsidR="00665C1A" w:rsidRPr="007A5275" w:rsidRDefault="00665C1A" w:rsidP="00665C1A">
            <w:r w:rsidRPr="007A5275">
              <w:t> </w:t>
            </w:r>
          </w:p>
        </w:tc>
        <w:tc>
          <w:tcPr>
            <w:tcW w:w="116" w:type="pct"/>
            <w:tcBorders>
              <w:top w:val="nil"/>
              <w:left w:val="nil"/>
              <w:bottom w:val="nil"/>
              <w:right w:val="nil"/>
            </w:tcBorders>
            <w:shd w:val="clear" w:color="000000" w:fill="FFFFFF"/>
            <w:noWrap/>
            <w:hideMark/>
          </w:tcPr>
          <w:p w14:paraId="51EA1E06" w14:textId="77777777" w:rsidR="00665C1A" w:rsidRPr="007A5275" w:rsidRDefault="00665C1A" w:rsidP="00665C1A">
            <w:r w:rsidRPr="007A5275">
              <w:t> </w:t>
            </w:r>
          </w:p>
        </w:tc>
        <w:tc>
          <w:tcPr>
            <w:tcW w:w="68" w:type="pct"/>
            <w:tcBorders>
              <w:top w:val="nil"/>
              <w:left w:val="nil"/>
              <w:bottom w:val="nil"/>
              <w:right w:val="nil"/>
            </w:tcBorders>
            <w:shd w:val="clear" w:color="000000" w:fill="FFFFFF"/>
            <w:noWrap/>
            <w:hideMark/>
          </w:tcPr>
          <w:p w14:paraId="1D8EBED3" w14:textId="77777777" w:rsidR="00665C1A" w:rsidRPr="007A5275" w:rsidRDefault="00665C1A" w:rsidP="00665C1A">
            <w:r w:rsidRPr="007A5275">
              <w:t> </w:t>
            </w:r>
          </w:p>
        </w:tc>
      </w:tr>
      <w:tr w:rsidR="00665C1A" w:rsidRPr="007A5275" w14:paraId="34F5D5AB" w14:textId="77777777" w:rsidTr="00665C1A">
        <w:trPr>
          <w:trHeight w:val="285"/>
        </w:trPr>
        <w:tc>
          <w:tcPr>
            <w:tcW w:w="2031" w:type="pct"/>
            <w:tcBorders>
              <w:top w:val="nil"/>
              <w:left w:val="nil"/>
              <w:bottom w:val="nil"/>
              <w:right w:val="nil"/>
            </w:tcBorders>
            <w:shd w:val="clear" w:color="000000" w:fill="FFFFFF"/>
            <w:noWrap/>
            <w:hideMark/>
          </w:tcPr>
          <w:p w14:paraId="672C819B" w14:textId="77777777" w:rsidR="00665C1A" w:rsidRPr="007A5275" w:rsidRDefault="00665C1A" w:rsidP="00665C1A">
            <w:r w:rsidRPr="007A5275">
              <w:t> </w:t>
            </w:r>
          </w:p>
        </w:tc>
        <w:tc>
          <w:tcPr>
            <w:tcW w:w="2901" w:type="pct"/>
            <w:gridSpan w:val="7"/>
            <w:tcBorders>
              <w:top w:val="nil"/>
              <w:left w:val="nil"/>
              <w:bottom w:val="nil"/>
              <w:right w:val="nil"/>
            </w:tcBorders>
            <w:shd w:val="clear" w:color="000000" w:fill="FFFFFF"/>
            <w:noWrap/>
            <w:hideMark/>
          </w:tcPr>
          <w:p w14:paraId="317514D1" w14:textId="77777777" w:rsidR="00665C1A" w:rsidRPr="007A5275" w:rsidRDefault="009F0D0B" w:rsidP="00665C1A">
            <w:pPr>
              <w:rPr>
                <w:u w:val="single"/>
              </w:rPr>
            </w:pPr>
            <w:hyperlink r:id="rId11" w:history="1">
              <w:r w:rsidR="00665C1A" w:rsidRPr="007A5275">
                <w:rPr>
                  <w:rStyle w:val="Hperlink"/>
                </w:rPr>
                <w:t>http://eur-lex.europa.eu/LexUriServ/LexUriServ.do?uri=OJ:L:2013:347:0487:0548:ET:PDF</w:t>
              </w:r>
            </w:hyperlink>
          </w:p>
        </w:tc>
        <w:tc>
          <w:tcPr>
            <w:tcW w:w="68" w:type="pct"/>
            <w:tcBorders>
              <w:top w:val="nil"/>
              <w:left w:val="nil"/>
              <w:bottom w:val="nil"/>
              <w:right w:val="nil"/>
            </w:tcBorders>
            <w:shd w:val="clear" w:color="000000" w:fill="FFFFFF"/>
            <w:noWrap/>
            <w:hideMark/>
          </w:tcPr>
          <w:p w14:paraId="73AC52EA" w14:textId="77777777" w:rsidR="00665C1A" w:rsidRPr="007A5275" w:rsidRDefault="00665C1A" w:rsidP="00665C1A">
            <w:r w:rsidRPr="007A5275">
              <w:t> </w:t>
            </w:r>
          </w:p>
        </w:tc>
      </w:tr>
      <w:tr w:rsidR="00665C1A" w:rsidRPr="007A5275" w14:paraId="0C435F61" w14:textId="77777777" w:rsidTr="00665C1A">
        <w:trPr>
          <w:trHeight w:val="285"/>
        </w:trPr>
        <w:tc>
          <w:tcPr>
            <w:tcW w:w="2031" w:type="pct"/>
            <w:tcBorders>
              <w:top w:val="nil"/>
              <w:left w:val="nil"/>
              <w:bottom w:val="nil"/>
              <w:right w:val="nil"/>
            </w:tcBorders>
            <w:shd w:val="clear" w:color="auto" w:fill="auto"/>
            <w:noWrap/>
            <w:hideMark/>
          </w:tcPr>
          <w:p w14:paraId="5612C1EF" w14:textId="77777777" w:rsidR="00665C1A" w:rsidRPr="007A5275" w:rsidRDefault="00665C1A" w:rsidP="00665C1A"/>
        </w:tc>
        <w:tc>
          <w:tcPr>
            <w:tcW w:w="2210" w:type="pct"/>
            <w:tcBorders>
              <w:top w:val="nil"/>
              <w:left w:val="nil"/>
              <w:bottom w:val="nil"/>
              <w:right w:val="nil"/>
            </w:tcBorders>
            <w:shd w:val="clear" w:color="auto" w:fill="auto"/>
            <w:noWrap/>
            <w:hideMark/>
          </w:tcPr>
          <w:p w14:paraId="28A6CC3C" w14:textId="77777777" w:rsidR="00665C1A" w:rsidRPr="007A5275" w:rsidRDefault="00665C1A" w:rsidP="00665C1A"/>
        </w:tc>
        <w:tc>
          <w:tcPr>
            <w:tcW w:w="115" w:type="pct"/>
            <w:tcBorders>
              <w:top w:val="nil"/>
              <w:left w:val="nil"/>
              <w:bottom w:val="nil"/>
              <w:right w:val="nil"/>
            </w:tcBorders>
            <w:shd w:val="clear" w:color="auto" w:fill="auto"/>
            <w:noWrap/>
            <w:hideMark/>
          </w:tcPr>
          <w:p w14:paraId="21F5EE8B" w14:textId="77777777" w:rsidR="00665C1A" w:rsidRPr="007A5275" w:rsidRDefault="00665C1A" w:rsidP="00665C1A"/>
        </w:tc>
        <w:tc>
          <w:tcPr>
            <w:tcW w:w="115" w:type="pct"/>
            <w:tcBorders>
              <w:top w:val="nil"/>
              <w:left w:val="nil"/>
              <w:bottom w:val="nil"/>
              <w:right w:val="nil"/>
            </w:tcBorders>
            <w:shd w:val="clear" w:color="auto" w:fill="auto"/>
            <w:noWrap/>
            <w:hideMark/>
          </w:tcPr>
          <w:p w14:paraId="72CD0EAE" w14:textId="77777777" w:rsidR="00665C1A" w:rsidRPr="007A5275" w:rsidRDefault="00665C1A" w:rsidP="00665C1A"/>
        </w:tc>
        <w:tc>
          <w:tcPr>
            <w:tcW w:w="115" w:type="pct"/>
            <w:tcBorders>
              <w:top w:val="nil"/>
              <w:left w:val="nil"/>
              <w:bottom w:val="nil"/>
              <w:right w:val="nil"/>
            </w:tcBorders>
            <w:shd w:val="clear" w:color="auto" w:fill="auto"/>
            <w:noWrap/>
            <w:hideMark/>
          </w:tcPr>
          <w:p w14:paraId="3FB90E4A" w14:textId="77777777" w:rsidR="00665C1A" w:rsidRPr="007A5275" w:rsidRDefault="00665C1A" w:rsidP="00665C1A"/>
        </w:tc>
        <w:tc>
          <w:tcPr>
            <w:tcW w:w="115" w:type="pct"/>
            <w:tcBorders>
              <w:top w:val="nil"/>
              <w:left w:val="nil"/>
              <w:bottom w:val="nil"/>
              <w:right w:val="nil"/>
            </w:tcBorders>
            <w:shd w:val="clear" w:color="auto" w:fill="auto"/>
            <w:noWrap/>
            <w:hideMark/>
          </w:tcPr>
          <w:p w14:paraId="39660812" w14:textId="77777777" w:rsidR="00665C1A" w:rsidRPr="007A5275" w:rsidRDefault="00665C1A" w:rsidP="00665C1A"/>
        </w:tc>
        <w:tc>
          <w:tcPr>
            <w:tcW w:w="115" w:type="pct"/>
            <w:tcBorders>
              <w:top w:val="nil"/>
              <w:left w:val="nil"/>
              <w:bottom w:val="nil"/>
              <w:right w:val="nil"/>
            </w:tcBorders>
            <w:shd w:val="clear" w:color="auto" w:fill="auto"/>
            <w:noWrap/>
            <w:hideMark/>
          </w:tcPr>
          <w:p w14:paraId="1A50768E" w14:textId="77777777" w:rsidR="00665C1A" w:rsidRPr="007A5275" w:rsidRDefault="00665C1A" w:rsidP="00665C1A"/>
        </w:tc>
        <w:tc>
          <w:tcPr>
            <w:tcW w:w="116" w:type="pct"/>
            <w:tcBorders>
              <w:top w:val="nil"/>
              <w:left w:val="nil"/>
              <w:bottom w:val="nil"/>
              <w:right w:val="nil"/>
            </w:tcBorders>
            <w:shd w:val="clear" w:color="auto" w:fill="auto"/>
            <w:noWrap/>
            <w:hideMark/>
          </w:tcPr>
          <w:p w14:paraId="1BE0DB2A" w14:textId="77777777" w:rsidR="00665C1A" w:rsidRPr="007A5275" w:rsidRDefault="00665C1A" w:rsidP="00665C1A"/>
        </w:tc>
        <w:tc>
          <w:tcPr>
            <w:tcW w:w="68" w:type="pct"/>
            <w:tcBorders>
              <w:top w:val="nil"/>
              <w:left w:val="nil"/>
              <w:bottom w:val="nil"/>
              <w:right w:val="nil"/>
            </w:tcBorders>
            <w:shd w:val="clear" w:color="auto" w:fill="auto"/>
            <w:noWrap/>
            <w:hideMark/>
          </w:tcPr>
          <w:p w14:paraId="1C4488DE" w14:textId="77777777" w:rsidR="00665C1A" w:rsidRPr="007A5275" w:rsidRDefault="00665C1A" w:rsidP="00665C1A"/>
        </w:tc>
      </w:tr>
    </w:tbl>
    <w:p w14:paraId="0FAEBE98" w14:textId="77777777" w:rsidR="00716523" w:rsidRPr="007A5275" w:rsidRDefault="00716523"/>
    <w:tbl>
      <w:tblPr>
        <w:tblpPr w:leftFromText="141" w:rightFromText="141" w:horzAnchor="margin" w:tblpY="-1410"/>
        <w:tblW w:w="5000" w:type="pct"/>
        <w:tblCellMar>
          <w:left w:w="70" w:type="dxa"/>
          <w:right w:w="70" w:type="dxa"/>
        </w:tblCellMar>
        <w:tblLook w:val="05A0" w:firstRow="1" w:lastRow="0" w:firstColumn="1" w:lastColumn="1" w:noHBand="0" w:noVBand="1"/>
      </w:tblPr>
      <w:tblGrid>
        <w:gridCol w:w="5687"/>
        <w:gridCol w:w="6189"/>
        <w:gridCol w:w="322"/>
        <w:gridCol w:w="322"/>
        <w:gridCol w:w="325"/>
        <w:gridCol w:w="322"/>
        <w:gridCol w:w="322"/>
        <w:gridCol w:w="325"/>
        <w:gridCol w:w="190"/>
      </w:tblGrid>
      <w:tr w:rsidR="00294E6C" w:rsidRPr="007A5275" w14:paraId="4FFBFA32" w14:textId="77777777" w:rsidTr="00294E6C">
        <w:trPr>
          <w:trHeight w:val="300"/>
        </w:trPr>
        <w:tc>
          <w:tcPr>
            <w:tcW w:w="5000" w:type="pct"/>
            <w:gridSpan w:val="9"/>
            <w:tcBorders>
              <w:top w:val="nil"/>
              <w:left w:val="nil"/>
              <w:bottom w:val="nil"/>
              <w:right w:val="nil"/>
            </w:tcBorders>
            <w:shd w:val="clear" w:color="000000" w:fill="FFFFFF"/>
            <w:vAlign w:val="bottom"/>
            <w:hideMark/>
          </w:tcPr>
          <w:p w14:paraId="3DD28318" w14:textId="77777777" w:rsidR="00294E6C" w:rsidRPr="007A5275" w:rsidRDefault="00294E6C" w:rsidP="00294E6C">
            <w:pPr>
              <w:rPr>
                <w:b/>
                <w:bCs/>
              </w:rPr>
            </w:pPr>
            <w:r w:rsidRPr="007A5275">
              <w:rPr>
                <w:b/>
                <w:bCs/>
              </w:rPr>
              <w:lastRenderedPageBreak/>
              <w:t>C. STRATEEGIA MEEDE ¹</w:t>
            </w:r>
          </w:p>
        </w:tc>
      </w:tr>
      <w:tr w:rsidR="00294E6C" w:rsidRPr="007A5275" w14:paraId="5414D590" w14:textId="77777777" w:rsidTr="00294E6C">
        <w:trPr>
          <w:trHeight w:val="285"/>
        </w:trPr>
        <w:tc>
          <w:tcPr>
            <w:tcW w:w="5000" w:type="pct"/>
            <w:gridSpan w:val="9"/>
            <w:tcBorders>
              <w:top w:val="nil"/>
              <w:left w:val="nil"/>
              <w:bottom w:val="nil"/>
              <w:right w:val="nil"/>
            </w:tcBorders>
            <w:shd w:val="clear" w:color="000000" w:fill="FFFFFF"/>
            <w:noWrap/>
            <w:hideMark/>
          </w:tcPr>
          <w:p w14:paraId="10BA3F23" w14:textId="77777777" w:rsidR="00294E6C" w:rsidRPr="007A5275" w:rsidRDefault="00294E6C" w:rsidP="00294E6C">
            <w:r w:rsidRPr="007A5275">
              <w:t> </w:t>
            </w:r>
          </w:p>
        </w:tc>
      </w:tr>
      <w:tr w:rsidR="00294E6C" w:rsidRPr="007A5275" w14:paraId="67842ECC" w14:textId="77777777" w:rsidTr="00294E6C">
        <w:trPr>
          <w:trHeight w:val="285"/>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noWrap/>
            <w:hideMark/>
          </w:tcPr>
          <w:p w14:paraId="3E51E9D4" w14:textId="77777777" w:rsidR="00294E6C" w:rsidRPr="007A5275" w:rsidRDefault="00294E6C" w:rsidP="00294E6C">
            <w:r w:rsidRPr="007A5275">
              <w:t>1. Strateegia meetme nimetus</w:t>
            </w:r>
          </w:p>
        </w:tc>
      </w:tr>
      <w:tr w:rsidR="00294E6C" w:rsidRPr="007A5275" w14:paraId="43829DE6" w14:textId="77777777" w:rsidTr="00294E6C">
        <w:trPr>
          <w:trHeight w:val="66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hideMark/>
          </w:tcPr>
          <w:p w14:paraId="55043E92" w14:textId="77777777" w:rsidR="00294E6C" w:rsidRPr="007A5275" w:rsidRDefault="00FD3B28" w:rsidP="00294E6C">
            <w:pPr>
              <w:rPr>
                <w:b/>
              </w:rPr>
            </w:pPr>
            <w:r w:rsidRPr="007A5275">
              <w:rPr>
                <w:rFonts w:eastAsia="Times New Roman" w:cs="Arial"/>
                <w:b/>
                <w:bCs/>
                <w:noProof/>
              </w:rPr>
              <w:t>Turismiteenuste arendamine ja infovahetuse edendamine</w:t>
            </w:r>
          </w:p>
          <w:p w14:paraId="1EE1478D" w14:textId="77777777" w:rsidR="00294E6C" w:rsidRPr="007A5275" w:rsidRDefault="00294E6C" w:rsidP="00294E6C">
            <w:pPr>
              <w:rPr>
                <w:b/>
              </w:rPr>
            </w:pPr>
          </w:p>
        </w:tc>
      </w:tr>
      <w:tr w:rsidR="00294E6C" w:rsidRPr="007A5275" w14:paraId="163E2A0B"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noWrap/>
            <w:hideMark/>
          </w:tcPr>
          <w:p w14:paraId="04F06ACF" w14:textId="77777777" w:rsidR="00294E6C" w:rsidRPr="007A5275" w:rsidRDefault="00294E6C" w:rsidP="00294E6C">
            <w:r w:rsidRPr="007A5275">
              <w:t>2. Strateegia meetme rakendamise vajaduse lühikirjeldus</w:t>
            </w:r>
          </w:p>
        </w:tc>
      </w:tr>
      <w:tr w:rsidR="00294E6C" w:rsidRPr="007A5275" w14:paraId="7FA4FBF6" w14:textId="77777777" w:rsidTr="00294E6C">
        <w:trPr>
          <w:trHeight w:val="177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tcPr>
          <w:p w14:paraId="69DFAD3A" w14:textId="77777777" w:rsidR="00FD3B28" w:rsidRPr="007A5275" w:rsidRDefault="00FD3B28" w:rsidP="00FD3B28">
            <w:pPr>
              <w:rPr>
                <w:rFonts w:cs="Arial"/>
                <w:noProof/>
              </w:rPr>
            </w:pPr>
            <w:r w:rsidRPr="007A5275">
              <w:rPr>
                <w:rFonts w:cs="Arial"/>
                <w:noProof/>
              </w:rPr>
              <w:t>Hoolimata ilusast looduskeskkonnast on turismi tähtsus piirkonnas väike. Puudulik on turismialane infovahetus ja koostöö. Samuti on paljud turismiobjektid korrastamata. Piirkonnas on vähe majutus- ja toitlustuskohti.</w:t>
            </w:r>
          </w:p>
          <w:p w14:paraId="450583FB" w14:textId="77777777" w:rsidR="00294E6C" w:rsidRPr="007A5275" w:rsidRDefault="00294E6C" w:rsidP="00FD3B28"/>
        </w:tc>
      </w:tr>
      <w:tr w:rsidR="00294E6C" w:rsidRPr="007A5275" w14:paraId="2DF74E03"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77630D04" w14:textId="77777777" w:rsidR="00294E6C" w:rsidRPr="007A5275" w:rsidRDefault="00294E6C" w:rsidP="00294E6C">
            <w:r w:rsidRPr="007A5275">
              <w:t xml:space="preserve">3. Strateegia meetme eesmärk  </w:t>
            </w:r>
          </w:p>
        </w:tc>
      </w:tr>
      <w:tr w:rsidR="00294E6C" w:rsidRPr="007A5275" w14:paraId="16D81634" w14:textId="77777777" w:rsidTr="00294E6C">
        <w:trPr>
          <w:trHeight w:val="726"/>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037890CD" w14:textId="77777777" w:rsidR="00FD3B28" w:rsidRPr="007A5275" w:rsidRDefault="00FD3B28" w:rsidP="00FD3B28">
            <w:pPr>
              <w:rPr>
                <w:rFonts w:cs="Times New Roman"/>
                <w:noProof/>
              </w:rPr>
            </w:pPr>
            <w:r w:rsidRPr="007A5275">
              <w:rPr>
                <w:rFonts w:cs="Times New Roman"/>
                <w:b/>
                <w:noProof/>
              </w:rPr>
              <w:t>Meetme rakendamise eesmärgiks on</w:t>
            </w:r>
            <w:r w:rsidRPr="007A5275">
              <w:rPr>
                <w:rFonts w:cs="Times New Roman"/>
                <w:noProof/>
              </w:rPr>
              <w:t xml:space="preserve"> turistidele suunatud teenuste ja toodete arvu suurendamine ning turismialase koostöö tõhustamine läbi turismiteenuste arendamise, turismiobjektide korrastamise ja turundustegevuste.</w:t>
            </w:r>
          </w:p>
          <w:p w14:paraId="4357B56E" w14:textId="77777777" w:rsidR="00294E6C" w:rsidRPr="007A5275" w:rsidRDefault="00294E6C" w:rsidP="00294E6C">
            <w:pPr>
              <w:rPr>
                <w:b/>
              </w:rPr>
            </w:pPr>
          </w:p>
        </w:tc>
      </w:tr>
      <w:tr w:rsidR="00294E6C" w:rsidRPr="007A5275" w14:paraId="60137DB4"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7AD8892D" w14:textId="77777777" w:rsidR="00294E6C" w:rsidRPr="007A5275" w:rsidRDefault="00294E6C" w:rsidP="00294E6C">
            <w:r w:rsidRPr="007A5275">
              <w:t xml:space="preserve">4. Toetatavad tegevused² </w:t>
            </w:r>
          </w:p>
        </w:tc>
      </w:tr>
      <w:tr w:rsidR="00294E6C" w:rsidRPr="007A5275" w14:paraId="52599F27" w14:textId="77777777" w:rsidTr="00294E6C">
        <w:trPr>
          <w:trHeight w:val="177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66CA540E" w14:textId="77777777" w:rsidR="004865DC" w:rsidRPr="007A5275" w:rsidRDefault="004865DC" w:rsidP="004865DC">
            <w:pPr>
              <w:pStyle w:val="Loendilik"/>
              <w:numPr>
                <w:ilvl w:val="0"/>
                <w:numId w:val="1"/>
              </w:numPr>
              <w:rPr>
                <w:rFonts w:cs="Arial"/>
                <w:noProof/>
                <w:sz w:val="22"/>
                <w:lang w:val="et-EE"/>
              </w:rPr>
            </w:pPr>
            <w:r w:rsidRPr="007A5275">
              <w:rPr>
                <w:rFonts w:cs="Arial"/>
                <w:noProof/>
                <w:sz w:val="22"/>
                <w:lang w:val="et-EE"/>
              </w:rPr>
              <w:t>Investeeringud ehitistesse, rajatistesse, taristusse, sisustusse ja seadmetesse</w:t>
            </w:r>
          </w:p>
          <w:p w14:paraId="7B078BFA" w14:textId="77777777" w:rsidR="004865DC" w:rsidRPr="007A5275" w:rsidRDefault="004865DC" w:rsidP="004865DC">
            <w:pPr>
              <w:pStyle w:val="Loendilik"/>
              <w:numPr>
                <w:ilvl w:val="0"/>
                <w:numId w:val="1"/>
              </w:numPr>
              <w:rPr>
                <w:rFonts w:cs="Arial"/>
                <w:noProof/>
                <w:sz w:val="22"/>
                <w:lang w:val="et-EE"/>
              </w:rPr>
            </w:pPr>
            <w:r w:rsidRPr="007A5275">
              <w:rPr>
                <w:rFonts w:cs="Arial"/>
                <w:noProof/>
                <w:sz w:val="22"/>
                <w:lang w:val="et-EE"/>
              </w:rPr>
              <w:t>Investeeringuga otseselt seotud koolitused jms</w:t>
            </w:r>
          </w:p>
          <w:p w14:paraId="6B91EF6D" w14:textId="77777777" w:rsidR="004865DC" w:rsidRPr="007A5275" w:rsidRDefault="004865DC" w:rsidP="004865DC">
            <w:pPr>
              <w:pStyle w:val="Loendilik"/>
              <w:numPr>
                <w:ilvl w:val="0"/>
                <w:numId w:val="1"/>
              </w:numPr>
              <w:rPr>
                <w:rFonts w:cs="Arial"/>
                <w:noProof/>
                <w:sz w:val="22"/>
                <w:lang w:val="et-EE"/>
              </w:rPr>
            </w:pPr>
            <w:r w:rsidRPr="007A5275">
              <w:rPr>
                <w:rFonts w:cs="Arial"/>
                <w:noProof/>
                <w:sz w:val="22"/>
                <w:lang w:val="et-EE"/>
              </w:rPr>
              <w:t>Turundustegevused</w:t>
            </w:r>
          </w:p>
          <w:p w14:paraId="589B214E" w14:textId="77777777" w:rsidR="00294E6C" w:rsidRPr="007A5275" w:rsidRDefault="004865DC" w:rsidP="004865DC">
            <w:pPr>
              <w:numPr>
                <w:ilvl w:val="0"/>
                <w:numId w:val="1"/>
              </w:numPr>
            </w:pPr>
            <w:r w:rsidRPr="007A5275">
              <w:rPr>
                <w:rFonts w:cs="Arial"/>
                <w:noProof/>
              </w:rPr>
              <w:t>Investeeringut ette valmistavad tegevused, kui need viiakse ellu sama investeeringuprojekti raames ja mis ei ületa 3% kogu projekti mahust</w:t>
            </w:r>
          </w:p>
        </w:tc>
      </w:tr>
      <w:tr w:rsidR="00294E6C" w:rsidRPr="007A5275" w14:paraId="2A834538" w14:textId="77777777" w:rsidTr="00294E6C">
        <w:trPr>
          <w:trHeight w:val="765"/>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533B71A2" w14:textId="77777777" w:rsidR="00294E6C" w:rsidRPr="007A5275" w:rsidRDefault="00294E6C" w:rsidP="00294E6C">
            <w:r w:rsidRPr="007A5275">
              <w:t>5. Kohaliku tegevusgrupi nõuded projektitoetuse taotlejale ja toetuse saajale (sh. dokumendid , mida peab projektitoetuse taotleja esitama taotluse esitamisel)</w:t>
            </w:r>
          </w:p>
        </w:tc>
      </w:tr>
      <w:tr w:rsidR="00665C1A" w:rsidRPr="007A5275" w14:paraId="57BE0A0C" w14:textId="77777777" w:rsidTr="00294E6C">
        <w:trPr>
          <w:trHeight w:val="177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0903485E" w14:textId="77777777" w:rsidR="00BA3B15" w:rsidRPr="007A5275" w:rsidRDefault="00BA3B15" w:rsidP="00BA3B15">
            <w:pPr>
              <w:rPr>
                <w:rFonts w:eastAsia="Times New Roman" w:cs="Times New Roman"/>
                <w:b/>
                <w:color w:val="000000"/>
                <w:lang w:eastAsia="et-EE"/>
              </w:rPr>
            </w:pPr>
            <w:r w:rsidRPr="007A5275">
              <w:rPr>
                <w:rFonts w:eastAsia="Times New Roman" w:cs="Times New Roman"/>
                <w:b/>
                <w:color w:val="000000"/>
                <w:lang w:eastAsia="et-EE"/>
              </w:rPr>
              <w:lastRenderedPageBreak/>
              <w:t>Projektitoetuse taotlejale esitatavad nõuded</w:t>
            </w:r>
          </w:p>
          <w:p w14:paraId="5DFBFB83"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(1) Projektitoetust võivad taotleda kohaliku tegevusgrupi toetust saanud kohaliku tegevusgrupi tegevuspiirkonnas tegutsev ettevõtja, kohaliku omavalitsuse üksus, sihtasutus, seltsing, põllu- ja maamajanduse valdkonna riigimuuseum ning mittetulundusühing, sealhulgas kohalik tegevusgrupp (edaspidi koos projektitoetuse taotleja).</w:t>
            </w:r>
          </w:p>
          <w:p w14:paraId="26ECC7BA"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(2) Kohaliku tegevusgrupi projektitaotlus peab olema vastu võetud kohaliku tegevusgrupi üldkoosoleku otsusega, millest peab nähtuma projektitaotluse vastavus strateegias ja rakenduskavas esitatud nõuetele.</w:t>
            </w:r>
          </w:p>
          <w:p w14:paraId="64B6FD10"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(3) Projektitoetuse taotleja vastab projektitoetuse saamiseks esitatavatele nõuetele, kui:</w:t>
            </w:r>
          </w:p>
          <w:p w14:paraId="5B174E7D"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1) ta on seltsing ja seltsinguleping on sõlmitud kirjalikult vähemalt viieks aastaks arvates PRIA poolt viimase toetusosa väljamaksmisest;</w:t>
            </w:r>
          </w:p>
          <w:p w14:paraId="282AFF08"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2) ta vastab Euroopa Parlamendi ja nõukogu määruse (EL) nr 1305/2013 III jaotise I peatükis ja strateegia meetmes nimetatud taotleja kohta esitatud nõuetele ning riigiabi reeglitest tulenevatele nõuetele;</w:t>
            </w:r>
          </w:p>
          <w:p w14:paraId="1486A5C8"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3) tal ei ole riikliku maksu võlga või tema riikliku maksu võla tasumine on ajatatud ja maksuvõla tasumise ajatamise korral on maksuvõlg, mille tasumise tähtaeg on möödunud, tasutud ettenähtud summas;</w:t>
            </w:r>
          </w:p>
          <w:p w14:paraId="0C92B543"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4) ta ei ole saanud ega taotle samal ajal sama tegevuse või investeeringuobjekti kohta toetust riigieelarvelistest või muudest Euroopa Liidu või </w:t>
            </w:r>
            <w:proofErr w:type="spellStart"/>
            <w:r w:rsidRPr="007A5275">
              <w:rPr>
                <w:rFonts w:eastAsia="Times New Roman" w:cs="Times New Roman"/>
                <w:color w:val="000000"/>
                <w:lang w:eastAsia="et-EE"/>
              </w:rPr>
              <w:t>välisvahenditest</w:t>
            </w:r>
            <w:proofErr w:type="spellEnd"/>
            <w:r w:rsidRPr="007A5275">
              <w:rPr>
                <w:rFonts w:eastAsia="Times New Roman" w:cs="Times New Roman"/>
                <w:color w:val="000000"/>
                <w:lang w:eastAsia="et-EE"/>
              </w:rPr>
              <w:t xml:space="preserve"> või muud </w:t>
            </w:r>
            <w:proofErr w:type="spellStart"/>
            <w:r w:rsidRPr="007A5275">
              <w:rPr>
                <w:rFonts w:eastAsia="Times New Roman" w:cs="Times New Roman"/>
                <w:color w:val="000000"/>
                <w:lang w:eastAsia="et-EE"/>
              </w:rPr>
              <w:t>tagastamatut</w:t>
            </w:r>
            <w:proofErr w:type="spellEnd"/>
            <w:r w:rsidRPr="007A5275">
              <w:rPr>
                <w:rFonts w:eastAsia="Times New Roman" w:cs="Times New Roman"/>
                <w:color w:val="000000"/>
                <w:lang w:eastAsia="et-EE"/>
              </w:rPr>
              <w:t xml:space="preserve"> riigiabi;</w:t>
            </w:r>
          </w:p>
          <w:p w14:paraId="73408961"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5) ta on varem riigieelarvelistest või muudest Euroopa Liidu või </w:t>
            </w:r>
            <w:proofErr w:type="spellStart"/>
            <w:r w:rsidRPr="007A5275">
              <w:rPr>
                <w:rFonts w:eastAsia="Times New Roman" w:cs="Times New Roman"/>
                <w:color w:val="000000"/>
                <w:lang w:eastAsia="et-EE"/>
              </w:rPr>
              <w:t>välisvahenditest</w:t>
            </w:r>
            <w:proofErr w:type="spellEnd"/>
            <w:r w:rsidRPr="007A5275">
              <w:rPr>
                <w:rFonts w:eastAsia="Times New Roman" w:cs="Times New Roman"/>
                <w:color w:val="000000"/>
                <w:lang w:eastAsia="et-EE"/>
              </w:rPr>
              <w:t xml:space="preserve"> saadud ja tagasimaksmisele kuulunud summa tähtajal tagasi maksnud või toetuse tagasimaksmise ajatamise korral tagasimaksed tasunud ettenähtud summas;</w:t>
            </w:r>
          </w:p>
          <w:p w14:paraId="0DE3375E"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6) tema suhtes ei ole algatatud likvideerimismenetlust ega kohtuotsusega välja kuulutatud pankrotti;</w:t>
            </w:r>
          </w:p>
          <w:p w14:paraId="60CFBEA1" w14:textId="77777777" w:rsidR="00BA3B15" w:rsidRPr="007A5275" w:rsidRDefault="00BA3B15" w:rsidP="00BA3B15">
            <w:pPr>
              <w:rPr>
                <w:rFonts w:eastAsia="Times New Roman" w:cs="Times New Roman"/>
                <w:color w:val="000000"/>
                <w:lang w:eastAsia="et-EE"/>
              </w:rPr>
            </w:pPr>
            <w:r w:rsidRPr="007A5275">
              <w:rPr>
                <w:rFonts w:eastAsia="Times New Roman" w:cs="Times New Roman"/>
                <w:color w:val="000000"/>
                <w:lang w:eastAsia="et-EE"/>
              </w:rPr>
              <w:t xml:space="preserve"> 7) tähtajaliselt asutatud projektitoetuse taotleja puhul ei ole see tähtaeg lühem kui viis aastat arvates PRIA poolt viimase toetusosa väljamaksmisest.</w:t>
            </w:r>
          </w:p>
          <w:p w14:paraId="1CD10A25" w14:textId="77777777" w:rsidR="00BA3B15" w:rsidRPr="007A5275" w:rsidRDefault="00BA3B15" w:rsidP="00BA3B15">
            <w:pPr>
              <w:rPr>
                <w:rFonts w:cs="Arial"/>
                <w:noProof/>
              </w:rPr>
            </w:pPr>
            <w:r w:rsidRPr="007A5275">
              <w:rPr>
                <w:rFonts w:eastAsia="Times New Roman" w:cs="Times New Roman"/>
                <w:color w:val="000000"/>
                <w:lang w:eastAsia="et-EE"/>
              </w:rPr>
              <w:t xml:space="preserve"> (4) Projektitoetuse taotleja ei või toetatava tegevuse elluviimist või investeeringu tegemist alustada varem ja tegevuse elluviimist või investeeringu tegemist tõendavad dokumendid ei või olla väljastatud varem kui kohaliku tegevusgrupi poolt projektitaotluse </w:t>
            </w:r>
            <w:proofErr w:type="spellStart"/>
            <w:r w:rsidRPr="007A5275">
              <w:rPr>
                <w:rFonts w:eastAsia="Times New Roman" w:cs="Times New Roman"/>
                <w:color w:val="000000"/>
                <w:lang w:eastAsia="et-EE"/>
              </w:rPr>
              <w:t>PRIAle</w:t>
            </w:r>
            <w:proofErr w:type="spellEnd"/>
            <w:r w:rsidRPr="007A5275">
              <w:rPr>
                <w:rFonts w:eastAsia="Times New Roman" w:cs="Times New Roman"/>
                <w:color w:val="000000"/>
                <w:lang w:eastAsia="et-EE"/>
              </w:rPr>
              <w:t xml:space="preserve"> esitamise päevale järgneval päeval. </w:t>
            </w:r>
            <w:r w:rsidRPr="007A5275">
              <w:rPr>
                <w:rFonts w:cs="Arial"/>
                <w:noProof/>
              </w:rPr>
              <w:t xml:space="preserve"> </w:t>
            </w:r>
          </w:p>
          <w:p w14:paraId="1A7EF740" w14:textId="77777777" w:rsidR="00BA3B15" w:rsidRPr="007A5275" w:rsidRDefault="00665C1A" w:rsidP="00665C1A">
            <w:pPr>
              <w:rPr>
                <w:rFonts w:cs="Arial"/>
                <w:noProof/>
              </w:rPr>
            </w:pPr>
            <w:r w:rsidRPr="007A5275">
              <w:rPr>
                <w:rFonts w:eastAsia="Times New Roman" w:cs="Times New Roman"/>
                <w:color w:val="000000"/>
                <w:lang w:eastAsia="et-EE"/>
              </w:rPr>
              <w:t> </w:t>
            </w:r>
            <w:r w:rsidRPr="007A5275">
              <w:rPr>
                <w:rFonts w:cs="Arial"/>
                <w:noProof/>
              </w:rPr>
              <w:t xml:space="preserve"> </w:t>
            </w:r>
          </w:p>
          <w:p w14:paraId="13E00282" w14:textId="77777777" w:rsidR="00665C1A" w:rsidRPr="007A5275" w:rsidRDefault="00665C1A" w:rsidP="00665C1A">
            <w:pPr>
              <w:rPr>
                <w:rFonts w:cs="Arial"/>
                <w:noProof/>
              </w:rPr>
            </w:pPr>
            <w:r w:rsidRPr="007A5275">
              <w:rPr>
                <w:rFonts w:cs="Arial"/>
                <w:b/>
                <w:noProof/>
              </w:rPr>
              <w:t xml:space="preserve">Toetuse saajad </w:t>
            </w:r>
            <w:r w:rsidRPr="007A5275">
              <w:rPr>
                <w:rFonts w:cs="Arial"/>
                <w:noProof/>
              </w:rPr>
              <w:t xml:space="preserve"> </w:t>
            </w:r>
          </w:p>
          <w:p w14:paraId="13CCE7CE" w14:textId="77777777" w:rsidR="00665C1A" w:rsidRPr="007A5275" w:rsidRDefault="00665C1A" w:rsidP="00665C1A">
            <w:pPr>
              <w:pStyle w:val="Loendilik"/>
              <w:numPr>
                <w:ilvl w:val="0"/>
                <w:numId w:val="5"/>
              </w:numPr>
              <w:rPr>
                <w:rFonts w:cs="Arial"/>
                <w:noProof/>
                <w:sz w:val="22"/>
                <w:szCs w:val="22"/>
                <w:lang w:val="et-EE"/>
              </w:rPr>
            </w:pPr>
            <w:r w:rsidRPr="007A5275">
              <w:rPr>
                <w:rFonts w:cs="Arial"/>
                <w:noProof/>
                <w:sz w:val="22"/>
                <w:szCs w:val="22"/>
                <w:lang w:val="et-EE"/>
              </w:rPr>
              <w:t>Kohalikud omavalitsused</w:t>
            </w:r>
          </w:p>
          <w:p w14:paraId="36E5949E" w14:textId="77777777" w:rsidR="00665C1A" w:rsidRPr="007A5275" w:rsidRDefault="00665C1A" w:rsidP="00665C1A">
            <w:pPr>
              <w:pStyle w:val="Loendilik"/>
              <w:numPr>
                <w:ilvl w:val="0"/>
                <w:numId w:val="5"/>
              </w:numPr>
              <w:rPr>
                <w:rFonts w:eastAsia="Times New Roman" w:cs="Times New Roman"/>
                <w:b/>
                <w:color w:val="000000"/>
                <w:sz w:val="22"/>
                <w:szCs w:val="22"/>
                <w:lang w:val="et-EE" w:eastAsia="et-EE"/>
              </w:rPr>
            </w:pPr>
            <w:r w:rsidRPr="007A5275">
              <w:rPr>
                <w:rFonts w:cs="Arial"/>
                <w:noProof/>
                <w:sz w:val="22"/>
                <w:szCs w:val="22"/>
                <w:lang w:val="et-EE"/>
              </w:rPr>
              <w:lastRenderedPageBreak/>
              <w:t>Kolmanda sektori organisatsioonid (MTÜd ja SAd)</w:t>
            </w:r>
          </w:p>
          <w:p w14:paraId="20832F84" w14:textId="77777777" w:rsidR="00665C1A" w:rsidRPr="007A5275" w:rsidRDefault="00665C1A" w:rsidP="00665C1A">
            <w:pPr>
              <w:rPr>
                <w:rFonts w:cs="Arial"/>
                <w:b/>
                <w:noProof/>
              </w:rPr>
            </w:pPr>
          </w:p>
          <w:p w14:paraId="63C2A4AE" w14:textId="77777777" w:rsidR="00665C1A" w:rsidRPr="007A5275" w:rsidRDefault="00665C1A" w:rsidP="00665C1A">
            <w:pPr>
              <w:rPr>
                <w:rFonts w:eastAsia="Times New Roman" w:cs="Times New Roman"/>
                <w:b/>
                <w:color w:val="000000"/>
                <w:lang w:eastAsia="et-EE"/>
              </w:rPr>
            </w:pPr>
            <w:r w:rsidRPr="007A5275">
              <w:rPr>
                <w:rFonts w:cs="Arial"/>
                <w:b/>
                <w:noProof/>
              </w:rPr>
              <w:t>Toetatavad valdkonnad</w:t>
            </w:r>
          </w:p>
          <w:p w14:paraId="3D349D39" w14:textId="77777777" w:rsidR="00665C1A" w:rsidRPr="007A5275" w:rsidRDefault="00665C1A" w:rsidP="00665C1A">
            <w:pPr>
              <w:pStyle w:val="Loendilik"/>
              <w:numPr>
                <w:ilvl w:val="0"/>
                <w:numId w:val="5"/>
              </w:numPr>
              <w:rPr>
                <w:rFonts w:cs="Arial"/>
                <w:noProof/>
                <w:sz w:val="22"/>
                <w:lang w:val="et-EE"/>
              </w:rPr>
            </w:pPr>
            <w:r w:rsidRPr="007A5275">
              <w:rPr>
                <w:rFonts w:cs="Arial"/>
                <w:noProof/>
                <w:sz w:val="22"/>
                <w:lang w:val="et-EE"/>
              </w:rPr>
              <w:t>Vaba aja veetmise võimaluste laiendamine</w:t>
            </w:r>
          </w:p>
          <w:p w14:paraId="268070C5" w14:textId="77777777" w:rsidR="00665C1A" w:rsidRPr="007A5275" w:rsidRDefault="00665C1A" w:rsidP="00665C1A">
            <w:pPr>
              <w:pStyle w:val="Loendilik"/>
              <w:numPr>
                <w:ilvl w:val="0"/>
                <w:numId w:val="5"/>
              </w:numPr>
              <w:rPr>
                <w:rFonts w:cs="Arial"/>
                <w:noProof/>
                <w:sz w:val="22"/>
                <w:lang w:val="et-EE"/>
              </w:rPr>
            </w:pPr>
            <w:r w:rsidRPr="007A5275">
              <w:rPr>
                <w:rFonts w:cs="Arial"/>
                <w:noProof/>
                <w:sz w:val="22"/>
                <w:lang w:val="et-EE"/>
              </w:rPr>
              <w:t>Avaliku ruumi kujundamine</w:t>
            </w:r>
          </w:p>
          <w:p w14:paraId="2872FFF9" w14:textId="77777777" w:rsidR="00665C1A" w:rsidRPr="007A5275" w:rsidRDefault="00665C1A" w:rsidP="00665C1A">
            <w:pPr>
              <w:pStyle w:val="Loendilik"/>
              <w:numPr>
                <w:ilvl w:val="0"/>
                <w:numId w:val="5"/>
              </w:numPr>
              <w:rPr>
                <w:rFonts w:cs="Arial"/>
                <w:noProof/>
                <w:sz w:val="22"/>
                <w:lang w:val="et-EE"/>
              </w:rPr>
            </w:pPr>
            <w:r w:rsidRPr="007A5275">
              <w:rPr>
                <w:rFonts w:cs="Arial"/>
                <w:noProof/>
                <w:sz w:val="22"/>
                <w:lang w:val="et-EE"/>
              </w:rPr>
              <w:t>Turvalisuse tõstmine</w:t>
            </w:r>
          </w:p>
          <w:p w14:paraId="5ED2B518" w14:textId="77777777" w:rsidR="00665C1A" w:rsidRPr="007A5275" w:rsidRDefault="00665C1A" w:rsidP="00665C1A">
            <w:pPr>
              <w:rPr>
                <w:rFonts w:cs="Arial"/>
                <w:b/>
                <w:noProof/>
              </w:rPr>
            </w:pPr>
          </w:p>
          <w:p w14:paraId="547A380D" w14:textId="77777777" w:rsidR="00665C1A" w:rsidRPr="007A5275" w:rsidRDefault="00665C1A" w:rsidP="00665C1A">
            <w:pPr>
              <w:rPr>
                <w:rFonts w:cs="Arial"/>
                <w:b/>
                <w:noProof/>
              </w:rPr>
            </w:pPr>
            <w:r w:rsidRPr="007A5275">
              <w:rPr>
                <w:rFonts w:cs="Arial"/>
                <w:b/>
                <w:noProof/>
              </w:rPr>
              <w:t>Nõuded toetuse saajale</w:t>
            </w:r>
          </w:p>
          <w:p w14:paraId="6FC53EDC" w14:textId="77777777" w:rsidR="00665C1A" w:rsidRPr="007A5275" w:rsidRDefault="00665C1A" w:rsidP="00665C1A">
            <w:pPr>
              <w:pStyle w:val="Loendilik"/>
              <w:numPr>
                <w:ilvl w:val="0"/>
                <w:numId w:val="5"/>
              </w:numPr>
              <w:rPr>
                <w:rFonts w:cs="Arial"/>
                <w:noProof/>
                <w:sz w:val="22"/>
                <w:szCs w:val="22"/>
                <w:lang w:val="et-EE"/>
              </w:rPr>
            </w:pPr>
            <w:r w:rsidRPr="007A5275">
              <w:rPr>
                <w:rFonts w:cs="Arial"/>
                <w:noProof/>
                <w:sz w:val="22"/>
                <w:szCs w:val="22"/>
                <w:lang w:val="et-EE"/>
              </w:rPr>
              <w:t>Projekti tegevused viiakse ellu NVK tegevuspiirkonnas</w:t>
            </w:r>
          </w:p>
          <w:p w14:paraId="7D096C96" w14:textId="77777777" w:rsidR="00665C1A" w:rsidRPr="007A5275" w:rsidRDefault="00665C1A" w:rsidP="00665C1A">
            <w:pPr>
              <w:pStyle w:val="Loendilik"/>
              <w:numPr>
                <w:ilvl w:val="0"/>
                <w:numId w:val="5"/>
              </w:numPr>
              <w:rPr>
                <w:rFonts w:eastAsia="Times New Roman" w:cs="Times New Roman"/>
                <w:b/>
                <w:color w:val="000000"/>
                <w:sz w:val="22"/>
                <w:szCs w:val="22"/>
                <w:lang w:val="et-EE" w:eastAsia="et-EE"/>
              </w:rPr>
            </w:pPr>
            <w:r w:rsidRPr="007A5275">
              <w:rPr>
                <w:rFonts w:cs="Arial"/>
                <w:noProof/>
                <w:sz w:val="22"/>
                <w:szCs w:val="22"/>
                <w:lang w:val="et-EE"/>
              </w:rPr>
              <w:t xml:space="preserve">Taotleja peab taotluse lisana esitama äriplaani/investeeringu kestlikkuse analüüsi. Vastavad juhendid ja vormid on kättesaadavad kodulehel </w:t>
            </w:r>
            <w:hyperlink r:id="rId12" w:history="1">
              <w:r w:rsidRPr="007A5275">
                <w:rPr>
                  <w:rStyle w:val="Hperlink"/>
                  <w:rFonts w:cs="Arial"/>
                  <w:noProof/>
                  <w:sz w:val="22"/>
                  <w:szCs w:val="22"/>
                  <w:lang w:val="et-EE"/>
                </w:rPr>
                <w:t>www.4kogu.ee</w:t>
              </w:r>
            </w:hyperlink>
            <w:r w:rsidRPr="007A5275">
              <w:rPr>
                <w:rFonts w:cs="Arial"/>
                <w:noProof/>
                <w:sz w:val="22"/>
                <w:szCs w:val="22"/>
                <w:lang w:val="et-EE"/>
              </w:rPr>
              <w:t xml:space="preserve"> </w:t>
            </w:r>
          </w:p>
          <w:p w14:paraId="6D97C1A2" w14:textId="77777777" w:rsidR="00665C1A" w:rsidRPr="007A5275" w:rsidRDefault="00665C1A" w:rsidP="00665C1A">
            <w:pPr>
              <w:pStyle w:val="Loendilik"/>
              <w:numPr>
                <w:ilvl w:val="0"/>
                <w:numId w:val="5"/>
              </w:numPr>
              <w:contextualSpacing w:val="0"/>
              <w:rPr>
                <w:sz w:val="22"/>
                <w:szCs w:val="22"/>
                <w:lang w:val="et-EE"/>
              </w:rPr>
            </w:pPr>
            <w:r w:rsidRPr="007A5275">
              <w:rPr>
                <w:sz w:val="22"/>
                <w:szCs w:val="22"/>
                <w:lang w:val="et-EE"/>
              </w:rPr>
              <w:t>Taotleja peab esitama mitte varasema kui taotluse esitamisele vahetult eelnenud kuu esimese kuupäeva seisuga mittetulundusühingu liikmete nimekirja, v.a usulised ühendused.</w:t>
            </w:r>
          </w:p>
          <w:p w14:paraId="71EC4987" w14:textId="77777777" w:rsidR="00665C1A" w:rsidRPr="007A5275" w:rsidRDefault="00665C1A" w:rsidP="00665C1A">
            <w:pPr>
              <w:pStyle w:val="Loendilik"/>
              <w:numPr>
                <w:ilvl w:val="0"/>
                <w:numId w:val="5"/>
              </w:numPr>
              <w:spacing w:after="120"/>
              <w:contextualSpacing w:val="0"/>
              <w:rPr>
                <w:sz w:val="22"/>
                <w:szCs w:val="22"/>
                <w:lang w:val="et-EE"/>
              </w:rPr>
            </w:pPr>
            <w:r w:rsidRPr="007A5275">
              <w:rPr>
                <w:sz w:val="22"/>
                <w:szCs w:val="22"/>
                <w:lang w:val="et-EE"/>
              </w:rPr>
              <w:t xml:space="preserve">Taotleja peab esitama eelmise majandusaasta tulude jaotuse, millest nähtub avaliku sektori (riigi, kohaliku omavalitsuse või nende ühenduse, muu avalik-õigusliku juriidilise isiku) toetuse osakaal. </w:t>
            </w:r>
          </w:p>
          <w:p w14:paraId="10CDAC9E" w14:textId="77777777" w:rsidR="00665C1A" w:rsidRPr="007A5275" w:rsidRDefault="00665C1A" w:rsidP="00665C1A">
            <w:pPr>
              <w:pStyle w:val="Loendilik"/>
              <w:rPr>
                <w:rFonts w:eastAsia="Times New Roman" w:cs="Times New Roman"/>
                <w:b/>
                <w:color w:val="000000"/>
                <w:sz w:val="22"/>
                <w:szCs w:val="22"/>
                <w:lang w:val="et-EE" w:eastAsia="et-EE"/>
              </w:rPr>
            </w:pPr>
          </w:p>
          <w:p w14:paraId="3D63E484" w14:textId="77777777" w:rsidR="00665C1A" w:rsidRPr="007A5275" w:rsidRDefault="00665C1A" w:rsidP="00665C1A">
            <w:pPr>
              <w:pStyle w:val="Loendilik"/>
              <w:rPr>
                <w:rFonts w:cs="Arial"/>
                <w:noProof/>
                <w:lang w:val="et-EE"/>
              </w:rPr>
            </w:pPr>
          </w:p>
          <w:p w14:paraId="3C4281DB" w14:textId="77777777" w:rsidR="00665C1A" w:rsidRPr="007A5275" w:rsidRDefault="00665C1A" w:rsidP="00665C1A">
            <w:pPr>
              <w:rPr>
                <w:rFonts w:cs="Arial"/>
                <w:b/>
                <w:noProof/>
              </w:rPr>
            </w:pPr>
            <w:r w:rsidRPr="007A5275">
              <w:rPr>
                <w:rFonts w:cs="Arial"/>
                <w:b/>
                <w:noProof/>
              </w:rPr>
              <w:t>Mitteabikõlbulikud tegevused</w:t>
            </w:r>
          </w:p>
          <w:p w14:paraId="5E7C8998" w14:textId="77777777" w:rsidR="00665C1A" w:rsidRPr="007A5275" w:rsidRDefault="00665C1A" w:rsidP="00665C1A">
            <w:pPr>
              <w:pStyle w:val="Loendilik"/>
              <w:numPr>
                <w:ilvl w:val="0"/>
                <w:numId w:val="5"/>
              </w:numPr>
              <w:rPr>
                <w:rFonts w:cs="Arial"/>
                <w:noProof/>
                <w:sz w:val="22"/>
                <w:lang w:val="et-EE"/>
              </w:rPr>
            </w:pPr>
            <w:r w:rsidRPr="007A5275">
              <w:rPr>
                <w:rFonts w:cs="Arial"/>
                <w:noProof/>
                <w:sz w:val="22"/>
                <w:lang w:val="et-EE"/>
              </w:rPr>
              <w:t>Investeeringut ette valmistavad tegevused, kui need viiakse ellu eraldiseisva projektina</w:t>
            </w:r>
          </w:p>
          <w:p w14:paraId="6AB780A8" w14:textId="77777777" w:rsidR="00665C1A" w:rsidRPr="007A5275" w:rsidRDefault="00665C1A" w:rsidP="00665C1A">
            <w:pPr>
              <w:pStyle w:val="Loendilik"/>
              <w:numPr>
                <w:ilvl w:val="0"/>
                <w:numId w:val="5"/>
              </w:numPr>
              <w:rPr>
                <w:rFonts w:cs="Arial"/>
                <w:noProof/>
                <w:sz w:val="22"/>
                <w:lang w:val="et-EE"/>
              </w:rPr>
            </w:pPr>
            <w:r w:rsidRPr="007A5275">
              <w:rPr>
                <w:rFonts w:cs="Arial"/>
                <w:noProof/>
                <w:sz w:val="22"/>
                <w:lang w:val="et-EE"/>
              </w:rPr>
              <w:t>Kinnistu ost</w:t>
            </w:r>
          </w:p>
          <w:p w14:paraId="1CCF9136" w14:textId="77777777" w:rsidR="00665C1A" w:rsidRPr="007A5275" w:rsidRDefault="00665C1A" w:rsidP="00665C1A">
            <w:pPr>
              <w:pStyle w:val="Loendilik"/>
              <w:numPr>
                <w:ilvl w:val="0"/>
                <w:numId w:val="5"/>
              </w:numPr>
              <w:rPr>
                <w:rFonts w:cs="Arial"/>
                <w:noProof/>
                <w:sz w:val="22"/>
                <w:lang w:val="et-EE"/>
              </w:rPr>
            </w:pPr>
            <w:r w:rsidRPr="007A5275">
              <w:rPr>
                <w:rFonts w:cs="Arial"/>
                <w:noProof/>
                <w:sz w:val="22"/>
                <w:lang w:val="et-EE"/>
              </w:rPr>
              <w:t>Projektijuhtimine</w:t>
            </w:r>
          </w:p>
          <w:p w14:paraId="620298D6" w14:textId="77777777" w:rsidR="00665C1A" w:rsidRPr="007A5275" w:rsidRDefault="00665C1A" w:rsidP="00665C1A">
            <w:pPr>
              <w:pStyle w:val="Loendilik"/>
              <w:numPr>
                <w:ilvl w:val="0"/>
                <w:numId w:val="5"/>
              </w:numPr>
              <w:rPr>
                <w:rFonts w:cs="Arial"/>
                <w:noProof/>
                <w:sz w:val="22"/>
                <w:lang w:val="et-EE"/>
              </w:rPr>
            </w:pPr>
            <w:r w:rsidRPr="007A5275">
              <w:rPr>
                <w:rFonts w:cs="Arial"/>
                <w:noProof/>
                <w:sz w:val="22"/>
                <w:lang w:val="et-EE"/>
              </w:rPr>
              <w:t>Vabatahtliku töö arvestamine</w:t>
            </w:r>
          </w:p>
          <w:p w14:paraId="18AE29E1" w14:textId="77777777" w:rsidR="00665C1A" w:rsidRPr="007A5275" w:rsidRDefault="00665C1A" w:rsidP="00665C1A">
            <w:pPr>
              <w:pStyle w:val="Loendilik"/>
              <w:numPr>
                <w:ilvl w:val="0"/>
                <w:numId w:val="5"/>
              </w:numPr>
              <w:rPr>
                <w:rFonts w:cs="Arial"/>
                <w:noProof/>
                <w:sz w:val="22"/>
                <w:lang w:val="et-EE"/>
              </w:rPr>
            </w:pPr>
            <w:r w:rsidRPr="007A5275">
              <w:rPr>
                <w:rFonts w:cs="Arial"/>
                <w:noProof/>
                <w:sz w:val="22"/>
                <w:lang w:val="et-EE"/>
              </w:rPr>
              <w:t>Kõik Leader meetme määruse poolt välistatud mitteabikõlblikud tegevused</w:t>
            </w:r>
          </w:p>
          <w:p w14:paraId="6C8951EF" w14:textId="77777777" w:rsidR="00665C1A" w:rsidRPr="007A5275" w:rsidRDefault="00665C1A" w:rsidP="00665C1A">
            <w:pPr>
              <w:rPr>
                <w:rFonts w:cs="Arial"/>
                <w:b/>
                <w:noProof/>
              </w:rPr>
            </w:pPr>
          </w:p>
          <w:p w14:paraId="6B193CAD" w14:textId="77777777" w:rsidR="00665C1A" w:rsidRPr="007A5275" w:rsidRDefault="00665C1A" w:rsidP="00665C1A">
            <w:pPr>
              <w:rPr>
                <w:rFonts w:cs="Arial"/>
                <w:b/>
                <w:noProof/>
              </w:rPr>
            </w:pPr>
            <w:r w:rsidRPr="007A5275">
              <w:rPr>
                <w:rFonts w:cs="Arial"/>
                <w:b/>
                <w:noProof/>
              </w:rPr>
              <w:t>Esitatavad dokumendid</w:t>
            </w:r>
          </w:p>
          <w:p w14:paraId="4239A69E" w14:textId="77777777" w:rsidR="00665C1A" w:rsidRPr="007A5275" w:rsidRDefault="00665C1A" w:rsidP="00665C1A">
            <w:pPr>
              <w:rPr>
                <w:rFonts w:cs="Arial"/>
                <w:b/>
                <w:noProof/>
              </w:rPr>
            </w:pPr>
            <w:r w:rsidRPr="007A5275">
              <w:rPr>
                <w:rFonts w:cs="Arial"/>
                <w:b/>
                <w:noProof/>
              </w:rPr>
              <w:t>1.           Projekt</w:t>
            </w:r>
          </w:p>
          <w:p w14:paraId="38B9D949" w14:textId="77777777" w:rsidR="00665C1A" w:rsidRPr="007A5275" w:rsidRDefault="00665C1A" w:rsidP="00665C1A">
            <w:pPr>
              <w:rPr>
                <w:rFonts w:cs="Arial"/>
                <w:b/>
                <w:noProof/>
              </w:rPr>
            </w:pPr>
            <w:r w:rsidRPr="007A5275">
              <w:rPr>
                <w:rFonts w:cs="Arial"/>
                <w:b/>
                <w:noProof/>
              </w:rPr>
              <w:t>2.</w:t>
            </w:r>
            <w:r w:rsidRPr="007A5275">
              <w:rPr>
                <w:rFonts w:cs="Arial"/>
                <w:b/>
                <w:noProof/>
              </w:rPr>
              <w:tab/>
              <w:t>Projekti eelarve / kalkulatsioon Lisa 1</w:t>
            </w:r>
          </w:p>
          <w:p w14:paraId="4CD18FD9" w14:textId="77777777" w:rsidR="00665C1A" w:rsidRPr="007A5275" w:rsidRDefault="00665C1A" w:rsidP="00665C1A">
            <w:pPr>
              <w:rPr>
                <w:rFonts w:cs="Arial"/>
                <w:b/>
                <w:noProof/>
              </w:rPr>
            </w:pPr>
            <w:r w:rsidRPr="007A5275">
              <w:rPr>
                <w:rFonts w:cs="Arial"/>
                <w:b/>
                <w:noProof/>
              </w:rPr>
              <w:lastRenderedPageBreak/>
              <w:t>3.</w:t>
            </w:r>
            <w:r w:rsidRPr="007A5275">
              <w:rPr>
                <w:rFonts w:cs="Arial"/>
                <w:b/>
                <w:noProof/>
              </w:rPr>
              <w:tab/>
              <w:t>Investeeringuobjekti puhul nõutavad dokumendid (ehitusloa koopia, KOV kirjaliku nõusoleku koopia, maa kasutusõigust tõendav dokument, ehitusalased joonised jne vastavalt Maaeluministeeriumi määrusele 23.10.2015 nr 11 (Kohaliku tegevusgrupi toetus ja LEADER-projektitoetus) § 37 lg 4</w:t>
            </w:r>
          </w:p>
          <w:p w14:paraId="1E8858DE" w14:textId="77777777" w:rsidR="00665C1A" w:rsidRPr="007A5275" w:rsidRDefault="00665C1A" w:rsidP="00665C1A">
            <w:pPr>
              <w:rPr>
                <w:rFonts w:cs="Arial"/>
                <w:b/>
                <w:noProof/>
              </w:rPr>
            </w:pPr>
            <w:r w:rsidRPr="007A5275">
              <w:rPr>
                <w:rFonts w:cs="Arial"/>
                <w:b/>
                <w:noProof/>
              </w:rPr>
              <w:t>4.         Ehitise puhul  (kui hoone ehitustegevuseks on vajalik ehitusteatis või ehitusluba) peab esitama kavandatava ehitise maksumuse eelarve,  mis on       Microsoft Exceli tarkvaraga töödeldavas vormingus. (PRIA vormil)</w:t>
            </w:r>
          </w:p>
          <w:p w14:paraId="6FC5F8BD" w14:textId="77777777" w:rsidR="00665C1A" w:rsidRPr="007A5275" w:rsidRDefault="00665C1A" w:rsidP="00665C1A">
            <w:pPr>
              <w:rPr>
                <w:rFonts w:cs="Arial"/>
                <w:b/>
                <w:noProof/>
              </w:rPr>
            </w:pPr>
            <w:r w:rsidRPr="007A5275">
              <w:rPr>
                <w:rFonts w:cs="Arial"/>
                <w:b/>
                <w:noProof/>
              </w:rPr>
              <w:t>4.</w:t>
            </w:r>
            <w:r w:rsidRPr="007A5275">
              <w:rPr>
                <w:rFonts w:cs="Arial"/>
                <w:b/>
                <w:noProof/>
              </w:rPr>
              <w:tab/>
              <w:t xml:space="preserve">Soetuste puhul hinnapakkumuste koopiad (vähemalt kolm võrreldavat pakkumust kui käibemaksuta maksumus ületab 1000 €) </w:t>
            </w:r>
          </w:p>
          <w:p w14:paraId="18E45E6D" w14:textId="77777777" w:rsidR="00665C1A" w:rsidRPr="007A5275" w:rsidRDefault="00665C1A" w:rsidP="00665C1A">
            <w:pPr>
              <w:rPr>
                <w:rFonts w:cs="Arial"/>
                <w:b/>
                <w:noProof/>
              </w:rPr>
            </w:pPr>
            <w:r w:rsidRPr="007A5275">
              <w:rPr>
                <w:rFonts w:cs="Arial"/>
                <w:b/>
                <w:noProof/>
              </w:rPr>
              <w:t>5.</w:t>
            </w:r>
            <w:r w:rsidRPr="007A5275">
              <w:rPr>
                <w:rFonts w:cs="Arial"/>
                <w:b/>
                <w:noProof/>
              </w:rPr>
              <w:tab/>
              <w:t>Projektijuhi CV (vabas vormis)</w:t>
            </w:r>
          </w:p>
          <w:p w14:paraId="0C074781" w14:textId="77777777" w:rsidR="00665C1A" w:rsidRPr="007A5275" w:rsidRDefault="00665C1A" w:rsidP="00665C1A">
            <w:pPr>
              <w:rPr>
                <w:rFonts w:cs="Arial"/>
                <w:b/>
                <w:noProof/>
              </w:rPr>
            </w:pPr>
            <w:r w:rsidRPr="007A5275">
              <w:rPr>
                <w:rFonts w:cs="Arial"/>
                <w:b/>
                <w:noProof/>
              </w:rPr>
              <w:t>6.</w:t>
            </w:r>
            <w:r w:rsidRPr="007A5275">
              <w:rPr>
                <w:rFonts w:cs="Arial"/>
                <w:b/>
                <w:noProof/>
              </w:rPr>
              <w:tab/>
              <w:t>Hinnapakkumiste võrdlustabel Lisa 2</w:t>
            </w:r>
          </w:p>
          <w:p w14:paraId="0E4ED36B" w14:textId="77777777" w:rsidR="00665C1A" w:rsidRPr="007A5275" w:rsidRDefault="00665C1A" w:rsidP="00665C1A">
            <w:pPr>
              <w:rPr>
                <w:rFonts w:cs="Arial"/>
                <w:b/>
                <w:noProof/>
              </w:rPr>
            </w:pPr>
            <w:r w:rsidRPr="007A5275">
              <w:rPr>
                <w:rFonts w:cs="Arial"/>
                <w:b/>
                <w:noProof/>
              </w:rPr>
              <w:t>7.</w:t>
            </w:r>
            <w:r w:rsidRPr="007A5275">
              <w:rPr>
                <w:rFonts w:cs="Arial"/>
                <w:b/>
                <w:noProof/>
              </w:rPr>
              <w:tab/>
              <w:t xml:space="preserve">Projektitegevuste plaan Lisa 3 </w:t>
            </w:r>
          </w:p>
          <w:p w14:paraId="01116227" w14:textId="77777777" w:rsidR="00665C1A" w:rsidRPr="007A5275" w:rsidRDefault="00665C1A" w:rsidP="00665C1A">
            <w:pPr>
              <w:rPr>
                <w:rFonts w:cs="Arial"/>
                <w:b/>
                <w:noProof/>
              </w:rPr>
            </w:pPr>
            <w:r w:rsidRPr="007A5275">
              <w:rPr>
                <w:rFonts w:cs="Arial"/>
                <w:b/>
                <w:noProof/>
              </w:rPr>
              <w:t>8.</w:t>
            </w:r>
            <w:r w:rsidRPr="007A5275">
              <w:rPr>
                <w:rFonts w:cs="Arial"/>
                <w:b/>
                <w:noProof/>
              </w:rPr>
              <w:tab/>
              <w:t xml:space="preserve">Äriühingust taotlejale äriplaan </w:t>
            </w:r>
            <w:r w:rsidR="007A5275">
              <w:rPr>
                <w:rFonts w:cs="Arial"/>
                <w:b/>
                <w:noProof/>
              </w:rPr>
              <w:t xml:space="preserve"> ( soovituslik kasutada NVK vormi </w:t>
            </w:r>
            <w:r w:rsidRPr="007A5275">
              <w:rPr>
                <w:rFonts w:cs="Arial"/>
                <w:b/>
                <w:noProof/>
              </w:rPr>
              <w:t>Lisa 4 ja äriplaani osana finatsprognoosid</w:t>
            </w:r>
            <w:r w:rsidR="007A5275">
              <w:rPr>
                <w:rFonts w:cs="Arial"/>
                <w:b/>
                <w:noProof/>
              </w:rPr>
              <w:t>)</w:t>
            </w:r>
          </w:p>
          <w:p w14:paraId="12EF2113" w14:textId="77777777" w:rsidR="00665C1A" w:rsidRPr="007A5275" w:rsidRDefault="00665C1A" w:rsidP="00665C1A">
            <w:pPr>
              <w:rPr>
                <w:rFonts w:cs="Arial"/>
                <w:b/>
                <w:noProof/>
              </w:rPr>
            </w:pPr>
            <w:r w:rsidRPr="007A5275">
              <w:rPr>
                <w:rFonts w:cs="Arial"/>
                <w:b/>
                <w:noProof/>
              </w:rPr>
              <w:t>9.</w:t>
            </w:r>
            <w:r w:rsidRPr="007A5275">
              <w:rPr>
                <w:rFonts w:cs="Arial"/>
                <w:b/>
                <w:noProof/>
              </w:rPr>
              <w:tab/>
              <w:t xml:space="preserve">Vabaühingust taotlejatele teostatavus/tasuvusanalüüs  </w:t>
            </w:r>
          </w:p>
          <w:p w14:paraId="7AD4A480" w14:textId="77777777" w:rsidR="00665C1A" w:rsidRPr="007A5275" w:rsidRDefault="00665C1A" w:rsidP="00665C1A">
            <w:pPr>
              <w:rPr>
                <w:rFonts w:cs="Arial"/>
                <w:b/>
                <w:noProof/>
              </w:rPr>
            </w:pPr>
            <w:r w:rsidRPr="007A5275">
              <w:rPr>
                <w:rFonts w:cs="Arial"/>
                <w:b/>
                <w:noProof/>
              </w:rPr>
              <w:t>NB! Taotlusdokumendid esitatakse e-pria vahendusel!</w:t>
            </w:r>
          </w:p>
          <w:p w14:paraId="4AB7BC98" w14:textId="77777777" w:rsidR="00665C1A" w:rsidRPr="007A5275" w:rsidRDefault="00665C1A" w:rsidP="00665C1A">
            <w:pPr>
              <w:rPr>
                <w:rFonts w:cs="Arial"/>
                <w:b/>
                <w:noProof/>
              </w:rPr>
            </w:pPr>
          </w:p>
          <w:p w14:paraId="05CAFFA5" w14:textId="77777777" w:rsidR="00665C1A" w:rsidRPr="007A5275" w:rsidRDefault="00665C1A" w:rsidP="00665C1A">
            <w:pPr>
              <w:rPr>
                <w:rFonts w:cs="Arial"/>
                <w:noProof/>
              </w:rPr>
            </w:pPr>
          </w:p>
        </w:tc>
      </w:tr>
      <w:tr w:rsidR="00665C1A" w:rsidRPr="007A5275" w14:paraId="45A2472E"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30945589" w14:textId="77777777" w:rsidR="00665C1A" w:rsidRPr="007A5275" w:rsidRDefault="00665C1A" w:rsidP="00665C1A">
            <w:r w:rsidRPr="007A5275">
              <w:lastRenderedPageBreak/>
              <w:t xml:space="preserve">6. Toetuse maksimaalne suurus ja määr </w:t>
            </w:r>
          </w:p>
        </w:tc>
      </w:tr>
      <w:tr w:rsidR="00665C1A" w:rsidRPr="007A5275" w14:paraId="39587F2F" w14:textId="77777777" w:rsidTr="00294E6C">
        <w:trPr>
          <w:trHeight w:val="178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7D918474" w14:textId="77777777" w:rsidR="00665C1A" w:rsidRPr="007A5275" w:rsidRDefault="00665C1A" w:rsidP="00665C1A">
            <w:pPr>
              <w:numPr>
                <w:ilvl w:val="0"/>
                <w:numId w:val="2"/>
              </w:numPr>
            </w:pPr>
            <w:r w:rsidRPr="007A5275">
              <w:t>Minimaalne toetussumma – 5000 EUR</w:t>
            </w:r>
          </w:p>
          <w:p w14:paraId="529340B0" w14:textId="77777777" w:rsidR="00665C1A" w:rsidRPr="007A5275" w:rsidRDefault="00665C1A" w:rsidP="00665C1A">
            <w:pPr>
              <w:rPr>
                <w:b/>
              </w:rPr>
            </w:pPr>
            <w:r w:rsidRPr="007A5275">
              <w:t>Maksimaalne toetussumma – 100 000 EUR</w:t>
            </w:r>
            <w:r w:rsidRPr="007A5275">
              <w:rPr>
                <w:b/>
              </w:rPr>
              <w:t xml:space="preserve"> </w:t>
            </w:r>
          </w:p>
          <w:p w14:paraId="7625852A" w14:textId="77777777" w:rsidR="00665C1A" w:rsidRPr="007A5275" w:rsidRDefault="00665C1A" w:rsidP="00665C1A">
            <w:pPr>
              <w:rPr>
                <w:b/>
              </w:rPr>
            </w:pPr>
            <w:r w:rsidRPr="007A5275">
              <w:rPr>
                <w:b/>
              </w:rPr>
              <w:t>Toetuse %</w:t>
            </w:r>
          </w:p>
          <w:p w14:paraId="1872854F" w14:textId="77777777" w:rsidR="00665C1A" w:rsidRPr="007A5275" w:rsidRDefault="00665C1A" w:rsidP="00665C1A">
            <w:pPr>
              <w:numPr>
                <w:ilvl w:val="0"/>
                <w:numId w:val="27"/>
              </w:numPr>
            </w:pPr>
            <w:r w:rsidRPr="007A5275">
              <w:t>Ettevõtetele ja taristu investeeringute puhul 60%</w:t>
            </w:r>
          </w:p>
          <w:p w14:paraId="7C70F4A6" w14:textId="77777777" w:rsidR="00665C1A" w:rsidRPr="007A5275" w:rsidRDefault="00665C1A" w:rsidP="00665C1A">
            <w:pPr>
              <w:pStyle w:val="Loendilik"/>
              <w:numPr>
                <w:ilvl w:val="0"/>
                <w:numId w:val="27"/>
              </w:numPr>
              <w:rPr>
                <w:sz w:val="22"/>
                <w:szCs w:val="22"/>
              </w:rPr>
            </w:pPr>
            <w:proofErr w:type="spellStart"/>
            <w:r w:rsidRPr="007A5275">
              <w:rPr>
                <w:sz w:val="22"/>
                <w:szCs w:val="22"/>
              </w:rPr>
              <w:t>Kohalikele</w:t>
            </w:r>
            <w:proofErr w:type="spellEnd"/>
            <w:r w:rsidRPr="007A5275">
              <w:rPr>
                <w:sz w:val="22"/>
                <w:szCs w:val="22"/>
              </w:rPr>
              <w:t xml:space="preserve"> </w:t>
            </w:r>
            <w:proofErr w:type="spellStart"/>
            <w:r w:rsidRPr="007A5275">
              <w:rPr>
                <w:sz w:val="22"/>
                <w:szCs w:val="22"/>
              </w:rPr>
              <w:t>omavalitsustele</w:t>
            </w:r>
            <w:proofErr w:type="spellEnd"/>
            <w:r w:rsidRPr="007A5275">
              <w:rPr>
                <w:sz w:val="22"/>
                <w:szCs w:val="22"/>
              </w:rPr>
              <w:t xml:space="preserve">, Nelja Valla </w:t>
            </w:r>
            <w:proofErr w:type="spellStart"/>
            <w:r w:rsidRPr="007A5275">
              <w:rPr>
                <w:sz w:val="22"/>
                <w:szCs w:val="22"/>
              </w:rPr>
              <w:t>Kogule</w:t>
            </w:r>
            <w:proofErr w:type="spellEnd"/>
            <w:r w:rsidRPr="007A5275">
              <w:rPr>
                <w:sz w:val="22"/>
                <w:szCs w:val="22"/>
              </w:rPr>
              <w:t xml:space="preserve"> ja </w:t>
            </w:r>
            <w:proofErr w:type="spellStart"/>
            <w:r w:rsidRPr="007A5275">
              <w:rPr>
                <w:sz w:val="22"/>
                <w:szCs w:val="22"/>
              </w:rPr>
              <w:t>kolmanda</w:t>
            </w:r>
            <w:proofErr w:type="spellEnd"/>
            <w:r w:rsidRPr="007A5275">
              <w:rPr>
                <w:sz w:val="22"/>
                <w:szCs w:val="22"/>
              </w:rPr>
              <w:t xml:space="preserve"> </w:t>
            </w:r>
            <w:proofErr w:type="spellStart"/>
            <w:r w:rsidRPr="007A5275">
              <w:rPr>
                <w:sz w:val="22"/>
                <w:szCs w:val="22"/>
              </w:rPr>
              <w:t>sektori</w:t>
            </w:r>
            <w:proofErr w:type="spellEnd"/>
            <w:r w:rsidRPr="007A5275">
              <w:rPr>
                <w:sz w:val="22"/>
                <w:szCs w:val="22"/>
              </w:rPr>
              <w:t xml:space="preserve"> </w:t>
            </w:r>
            <w:proofErr w:type="spellStart"/>
            <w:r w:rsidRPr="007A5275">
              <w:rPr>
                <w:sz w:val="22"/>
                <w:szCs w:val="22"/>
              </w:rPr>
              <w:t>organisatsioonidele</w:t>
            </w:r>
            <w:proofErr w:type="spellEnd"/>
            <w:r w:rsidRPr="007A5275">
              <w:rPr>
                <w:sz w:val="22"/>
                <w:szCs w:val="22"/>
              </w:rPr>
              <w:t xml:space="preserve"> 90%</w:t>
            </w:r>
          </w:p>
          <w:p w14:paraId="1466730D" w14:textId="77777777" w:rsidR="00665C1A" w:rsidRPr="007A5275" w:rsidRDefault="00665C1A" w:rsidP="00665C1A"/>
        </w:tc>
      </w:tr>
      <w:tr w:rsidR="00665C1A" w:rsidRPr="007A5275" w14:paraId="7EF136AC"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1313F02A" w14:textId="77777777" w:rsidR="00665C1A" w:rsidRPr="007A5275" w:rsidRDefault="00665C1A" w:rsidP="00665C1A">
            <w:r w:rsidRPr="007A5275">
              <w:t xml:space="preserve">7. Viide sihtvaldkonnale </w:t>
            </w:r>
          </w:p>
        </w:tc>
      </w:tr>
      <w:tr w:rsidR="00665C1A" w:rsidRPr="007A5275" w14:paraId="6FF33AC3" w14:textId="77777777" w:rsidTr="00294E6C">
        <w:trPr>
          <w:trHeight w:val="664"/>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06CB6644" w14:textId="77777777" w:rsidR="00665C1A" w:rsidRPr="007A5275" w:rsidRDefault="00665C1A" w:rsidP="00665C1A">
            <w:pPr>
              <w:rPr>
                <w:rFonts w:cs="Arial"/>
                <w:noProof/>
              </w:rPr>
            </w:pPr>
            <w:r w:rsidRPr="007A5275">
              <w:rPr>
                <w:rFonts w:cs="Arial"/>
                <w:noProof/>
              </w:rPr>
              <w:t>Meede nr 4 panustab sihtvaldkondadesse 6A ja 6B.</w:t>
            </w:r>
          </w:p>
          <w:p w14:paraId="441EE2E5" w14:textId="77777777" w:rsidR="00665C1A" w:rsidRPr="007A5275" w:rsidRDefault="00665C1A" w:rsidP="00665C1A"/>
        </w:tc>
      </w:tr>
      <w:tr w:rsidR="00665C1A" w:rsidRPr="007A5275" w14:paraId="7B15FD35" w14:textId="77777777" w:rsidTr="00294E6C">
        <w:trPr>
          <w:trHeight w:val="705"/>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6122474B" w14:textId="77777777" w:rsidR="00665C1A" w:rsidRPr="007A5275" w:rsidRDefault="00665C1A" w:rsidP="00665C1A">
            <w:r w:rsidRPr="007A5275">
              <w:lastRenderedPageBreak/>
              <w:t>8. Euroopa Parlamendi ja nõukogu määruse (EL) nr 1305/2013 artiklis 5 nimetatud prioriteedid, mille eesmärkide saavutamisele strateegia meetme rakendamine enim kaasa aitab</w:t>
            </w:r>
            <w:r w:rsidRPr="007A5275">
              <w:rPr>
                <w:vertAlign w:val="superscript"/>
              </w:rPr>
              <w:t>3</w:t>
            </w:r>
          </w:p>
        </w:tc>
      </w:tr>
      <w:tr w:rsidR="00665C1A" w:rsidRPr="007A5275" w14:paraId="2859483D" w14:textId="77777777" w:rsidTr="00294E6C">
        <w:trPr>
          <w:trHeight w:val="854"/>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159FC8DA" w14:textId="77777777" w:rsidR="00665C1A" w:rsidRPr="007A5275" w:rsidRDefault="00665C1A" w:rsidP="00665C1A">
            <w:pPr>
              <w:rPr>
                <w:rFonts w:cs="Arial"/>
                <w:noProof/>
              </w:rPr>
            </w:pPr>
            <w:r w:rsidRPr="007A5275">
              <w:rPr>
                <w:rFonts w:cs="Arial"/>
                <w:noProof/>
              </w:rPr>
              <w:t>NVK meede nr 4 vastab EAFRD prioriteedile nr 6.</w:t>
            </w:r>
          </w:p>
          <w:p w14:paraId="2DE90A92" w14:textId="77777777" w:rsidR="00665C1A" w:rsidRPr="007A5275" w:rsidRDefault="00665C1A" w:rsidP="00665C1A">
            <w:r w:rsidRPr="007A5275">
              <w:rPr>
                <w:rFonts w:cs="Arial"/>
                <w:noProof/>
              </w:rPr>
              <w:t xml:space="preserve">Abikõlbulikud tegevused vastavalt </w:t>
            </w:r>
            <w:r w:rsidRPr="007A5275">
              <w:rPr>
                <w:rFonts w:cs="Times New Roman"/>
                <w:noProof/>
              </w:rPr>
              <w:t>Euroopa Parlamendi ja Nõukogu määruse nr 1305/2013 artiklitele nr 14, 17, 19, 20 ja 35</w:t>
            </w:r>
          </w:p>
          <w:p w14:paraId="60473F6E" w14:textId="77777777" w:rsidR="00665C1A" w:rsidRPr="007A5275" w:rsidRDefault="00665C1A" w:rsidP="00665C1A"/>
        </w:tc>
      </w:tr>
      <w:tr w:rsidR="00665C1A" w:rsidRPr="007A5275" w14:paraId="016DB450"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04350782" w14:textId="77777777" w:rsidR="00665C1A" w:rsidRPr="007A5275" w:rsidRDefault="00665C1A" w:rsidP="00665C1A">
            <w:r w:rsidRPr="007A5275">
              <w:t>9. Viide arengukava meetmele, kui strateegia meede sellega kattub</w:t>
            </w:r>
          </w:p>
        </w:tc>
      </w:tr>
      <w:tr w:rsidR="00665C1A" w:rsidRPr="007A5275" w14:paraId="04937714" w14:textId="77777777" w:rsidTr="00294E6C">
        <w:trPr>
          <w:trHeight w:val="814"/>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68AB095F" w14:textId="77777777" w:rsidR="00665C1A" w:rsidRPr="007A5275" w:rsidRDefault="00665C1A" w:rsidP="00665C1A">
            <w:r w:rsidRPr="007A5275">
              <w:t> </w:t>
            </w:r>
          </w:p>
        </w:tc>
      </w:tr>
      <w:tr w:rsidR="00665C1A" w:rsidRPr="007A5275" w14:paraId="059B904D"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284BF8FB" w14:textId="77777777" w:rsidR="00665C1A" w:rsidRPr="007A5275" w:rsidRDefault="00665C1A" w:rsidP="00665C1A">
            <w:r w:rsidRPr="007A5275">
              <w:t>10. Strateegia meetme indikaatorid ja sihttasemed</w:t>
            </w:r>
          </w:p>
        </w:tc>
      </w:tr>
      <w:tr w:rsidR="00665C1A" w:rsidRPr="007A5275" w14:paraId="69594EAF" w14:textId="77777777" w:rsidTr="00294E6C">
        <w:trPr>
          <w:trHeight w:val="142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3BFB88A7" w14:textId="77777777" w:rsidR="00665C1A" w:rsidRPr="007A5275" w:rsidRDefault="00665C1A" w:rsidP="00665C1A">
            <w:pPr>
              <w:rPr>
                <w:b/>
              </w:rPr>
            </w:pPr>
            <w:r w:rsidRPr="007A5275">
              <w:t xml:space="preserve">  </w:t>
            </w:r>
            <w:r w:rsidRPr="007A5275">
              <w:rPr>
                <w:b/>
              </w:rPr>
              <w:t>Väljundmõõdikud ja soovitud sihttasemed:</w:t>
            </w:r>
          </w:p>
          <w:p w14:paraId="3BB64EBA" w14:textId="77777777" w:rsidR="00665C1A" w:rsidRPr="007A5275" w:rsidRDefault="00665C1A" w:rsidP="00665C1A">
            <w:pPr>
              <w:numPr>
                <w:ilvl w:val="0"/>
                <w:numId w:val="9"/>
              </w:numPr>
            </w:pPr>
            <w:r w:rsidRPr="007A5275">
              <w:t>uute majutusvõimaluste arv – 2;</w:t>
            </w:r>
          </w:p>
          <w:p w14:paraId="5BF70A2A" w14:textId="77777777" w:rsidR="00665C1A" w:rsidRPr="007A5275" w:rsidRDefault="00665C1A" w:rsidP="00665C1A">
            <w:pPr>
              <w:numPr>
                <w:ilvl w:val="0"/>
                <w:numId w:val="9"/>
              </w:numPr>
            </w:pPr>
            <w:r w:rsidRPr="007A5275">
              <w:t>uute turismitoodete ja -teenuste arv  – 6;</w:t>
            </w:r>
          </w:p>
          <w:p w14:paraId="2F4DC9DF" w14:textId="77777777" w:rsidR="00665C1A" w:rsidRPr="007A5275" w:rsidRDefault="00665C1A" w:rsidP="00665C1A">
            <w:pPr>
              <w:numPr>
                <w:ilvl w:val="0"/>
                <w:numId w:val="9"/>
              </w:numPr>
            </w:pPr>
            <w:r w:rsidRPr="007A5275">
              <w:t>uute ja renoveeritud turismiobjektide arv – 4;</w:t>
            </w:r>
          </w:p>
          <w:p w14:paraId="564636F8" w14:textId="77777777" w:rsidR="00665C1A" w:rsidRPr="007A5275" w:rsidRDefault="00665C1A" w:rsidP="00665C1A">
            <w:pPr>
              <w:numPr>
                <w:ilvl w:val="0"/>
                <w:numId w:val="9"/>
              </w:numPr>
            </w:pPr>
            <w:r w:rsidRPr="007A5275">
              <w:t>toetatud projektide arv strateegia perioodi jooksul – 15.</w:t>
            </w:r>
          </w:p>
          <w:p w14:paraId="5EB7A275" w14:textId="77777777" w:rsidR="00665C1A" w:rsidRPr="007A5275" w:rsidRDefault="00665C1A" w:rsidP="00665C1A">
            <w:pPr>
              <w:rPr>
                <w:b/>
              </w:rPr>
            </w:pPr>
          </w:p>
          <w:p w14:paraId="45E03E97" w14:textId="77777777" w:rsidR="00665C1A" w:rsidRPr="007A5275" w:rsidRDefault="00665C1A" w:rsidP="00665C1A">
            <w:pPr>
              <w:rPr>
                <w:b/>
              </w:rPr>
            </w:pPr>
            <w:r w:rsidRPr="007A5275">
              <w:rPr>
                <w:b/>
              </w:rPr>
              <w:t>Tulemusmõõdik ja soovitud sihttase:</w:t>
            </w:r>
          </w:p>
          <w:p w14:paraId="46CE09C3" w14:textId="77777777" w:rsidR="00665C1A" w:rsidRPr="007A5275" w:rsidRDefault="00665C1A" w:rsidP="00665C1A">
            <w:pPr>
              <w:numPr>
                <w:ilvl w:val="0"/>
                <w:numId w:val="10"/>
              </w:numPr>
            </w:pPr>
            <w:r w:rsidRPr="007A5275">
              <w:rPr>
                <w:rFonts w:cs="Arial"/>
                <w:noProof/>
              </w:rPr>
              <w:t>meetmes kokku perioodi jooksul loodud töökohtade arv – 5</w:t>
            </w:r>
          </w:p>
        </w:tc>
      </w:tr>
      <w:tr w:rsidR="00665C1A" w:rsidRPr="007A5275" w14:paraId="2286379D" w14:textId="77777777" w:rsidTr="00294E6C">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222C8F67" w14:textId="77777777" w:rsidR="00665C1A" w:rsidRPr="007A5275" w:rsidRDefault="00665C1A" w:rsidP="00665C1A">
            <w:r w:rsidRPr="007A5275">
              <w:t xml:space="preserve">11.Projektitoetuse taotluste hindamiskriteeriumid </w:t>
            </w:r>
          </w:p>
        </w:tc>
      </w:tr>
      <w:tr w:rsidR="00665C1A" w:rsidRPr="007A5275" w14:paraId="4EDB880B" w14:textId="77777777" w:rsidTr="00294E6C">
        <w:trPr>
          <w:trHeight w:val="141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121049AB" w14:textId="77777777" w:rsidR="00665C1A" w:rsidRPr="007A5275" w:rsidRDefault="00665C1A" w:rsidP="00665C1A">
            <w:pPr>
              <w:rPr>
                <w:b/>
              </w:rPr>
            </w:pPr>
            <w:r w:rsidRPr="007A5275">
              <w:t xml:space="preserve">  </w:t>
            </w:r>
            <w:r w:rsidRPr="007A5275">
              <w:rPr>
                <w:b/>
              </w:rPr>
              <w:t>Taotluste hindamise aluseks on kriteeriumid, mis jagunevad kaheks plokiks:</w:t>
            </w:r>
          </w:p>
          <w:p w14:paraId="15E6F17A" w14:textId="77777777" w:rsidR="00665C1A" w:rsidRPr="007A5275" w:rsidRDefault="00665C1A" w:rsidP="00665C1A">
            <w:pPr>
              <w:numPr>
                <w:ilvl w:val="0"/>
                <w:numId w:val="11"/>
              </w:numPr>
            </w:pPr>
            <w:r w:rsidRPr="007A5275">
              <w:t xml:space="preserve">Projekti </w:t>
            </w:r>
            <w:r w:rsidRPr="007A5275">
              <w:rPr>
                <w:b/>
              </w:rPr>
              <w:t>mõjuga</w:t>
            </w:r>
            <w:r w:rsidRPr="007A5275">
              <w:t xml:space="preserve"> seotud kriteeriumid (osakaal 75% mõlemast plokist):</w:t>
            </w:r>
          </w:p>
          <w:p w14:paraId="57CA8C51" w14:textId="77777777" w:rsidR="00665C1A" w:rsidRPr="007A5275" w:rsidRDefault="00665C1A" w:rsidP="00665C1A">
            <w:pPr>
              <w:numPr>
                <w:ilvl w:val="1"/>
                <w:numId w:val="11"/>
              </w:numPr>
            </w:pPr>
            <w:r w:rsidRPr="007A5275">
              <w:t>Projekti põhjendatus ja seos Nelja Valla Kogu strateegiaga (20%);</w:t>
            </w:r>
          </w:p>
          <w:p w14:paraId="1075E5B5" w14:textId="77777777" w:rsidR="00665C1A" w:rsidRPr="007A5275" w:rsidRDefault="00665C1A" w:rsidP="00665C1A">
            <w:pPr>
              <w:numPr>
                <w:ilvl w:val="1"/>
                <w:numId w:val="11"/>
              </w:numPr>
            </w:pPr>
            <w:r w:rsidRPr="007A5275">
              <w:lastRenderedPageBreak/>
              <w:t>Projekti seos kohaliku omavalitsuse, kandi või küla arengukavaga (10%);</w:t>
            </w:r>
          </w:p>
          <w:p w14:paraId="15FA01E9" w14:textId="77777777" w:rsidR="00665C1A" w:rsidRPr="007A5275" w:rsidRDefault="00665C1A" w:rsidP="00665C1A">
            <w:pPr>
              <w:numPr>
                <w:ilvl w:val="1"/>
                <w:numId w:val="11"/>
              </w:numPr>
            </w:pPr>
            <w:r w:rsidRPr="007A5275">
              <w:t>Projekti panus meetme indikaatorite sihttasemete täitmisesse (10%);</w:t>
            </w:r>
          </w:p>
          <w:p w14:paraId="3328011E" w14:textId="77777777" w:rsidR="00665C1A" w:rsidRPr="007A5275" w:rsidRDefault="00665C1A" w:rsidP="00665C1A">
            <w:pPr>
              <w:numPr>
                <w:ilvl w:val="1"/>
                <w:numId w:val="11"/>
              </w:numPr>
            </w:pPr>
            <w:r w:rsidRPr="007A5275">
              <w:t>Projekti jätkusuutlikkus (15%);</w:t>
            </w:r>
          </w:p>
          <w:p w14:paraId="20BF9B97" w14:textId="77777777" w:rsidR="00665C1A" w:rsidRPr="007A5275" w:rsidRDefault="00665C1A" w:rsidP="00665C1A">
            <w:pPr>
              <w:numPr>
                <w:ilvl w:val="1"/>
                <w:numId w:val="11"/>
              </w:numPr>
            </w:pPr>
            <w:r w:rsidRPr="007A5275">
              <w:t>Koostöö (10%);</w:t>
            </w:r>
          </w:p>
          <w:p w14:paraId="71C0B277" w14:textId="77777777" w:rsidR="00665C1A" w:rsidRPr="007A5275" w:rsidRDefault="00665C1A" w:rsidP="00665C1A">
            <w:pPr>
              <w:numPr>
                <w:ilvl w:val="1"/>
                <w:numId w:val="11"/>
              </w:numPr>
            </w:pPr>
            <w:r w:rsidRPr="007A5275">
              <w:t>Uuenduslikkus (10%).</w:t>
            </w:r>
          </w:p>
          <w:p w14:paraId="088B6B6E" w14:textId="77777777" w:rsidR="00665C1A" w:rsidRPr="007A5275" w:rsidRDefault="00665C1A" w:rsidP="00665C1A"/>
          <w:p w14:paraId="67A51986" w14:textId="77777777" w:rsidR="00665C1A" w:rsidRPr="007A5275" w:rsidRDefault="00665C1A" w:rsidP="00665C1A">
            <w:pPr>
              <w:numPr>
                <w:ilvl w:val="0"/>
                <w:numId w:val="11"/>
              </w:numPr>
            </w:pPr>
            <w:r w:rsidRPr="007A5275">
              <w:t xml:space="preserve">Projekti </w:t>
            </w:r>
            <w:r w:rsidRPr="007A5275">
              <w:rPr>
                <w:b/>
              </w:rPr>
              <w:t>kvaliteediga</w:t>
            </w:r>
            <w:r w:rsidRPr="007A5275">
              <w:t xml:space="preserve"> seotud kriteeriumid (osakaal 25% mõlemast plokist):</w:t>
            </w:r>
          </w:p>
          <w:p w14:paraId="43D11D38" w14:textId="77777777" w:rsidR="00665C1A" w:rsidRPr="007A5275" w:rsidRDefault="00665C1A" w:rsidP="00665C1A">
            <w:pPr>
              <w:numPr>
                <w:ilvl w:val="1"/>
                <w:numId w:val="11"/>
              </w:numPr>
            </w:pPr>
            <w:r w:rsidRPr="007A5275">
              <w:t>Projekti üldine kvaliteet (10%);</w:t>
            </w:r>
          </w:p>
          <w:p w14:paraId="485ACAA1" w14:textId="77777777" w:rsidR="00665C1A" w:rsidRPr="007A5275" w:rsidRDefault="00665C1A" w:rsidP="00665C1A">
            <w:pPr>
              <w:numPr>
                <w:ilvl w:val="1"/>
                <w:numId w:val="11"/>
              </w:numPr>
            </w:pPr>
            <w:r w:rsidRPr="007A5275">
              <w:t>Projekti kulude põhjendatus (10%);</w:t>
            </w:r>
          </w:p>
          <w:p w14:paraId="5E1C61CC" w14:textId="77777777" w:rsidR="00665C1A" w:rsidRPr="007A5275" w:rsidRDefault="00665C1A" w:rsidP="00665C1A">
            <w:pPr>
              <w:numPr>
                <w:ilvl w:val="1"/>
                <w:numId w:val="11"/>
              </w:numPr>
            </w:pPr>
            <w:r w:rsidRPr="007A5275">
              <w:t>Taotleja taust, sh varasem kogemus ja olemasolevad kompetentsid, võimekus projekti ellu viimiseks (5%).</w:t>
            </w:r>
          </w:p>
          <w:p w14:paraId="01E0AAC0" w14:textId="77777777" w:rsidR="00665C1A" w:rsidRPr="007A5275" w:rsidRDefault="00665C1A" w:rsidP="00665C1A"/>
          <w:p w14:paraId="230340D9" w14:textId="77777777" w:rsidR="00665C1A" w:rsidRPr="007A5275" w:rsidRDefault="00665C1A" w:rsidP="00665C1A">
            <w:r w:rsidRPr="007A5275">
              <w:t>Taotlusi hinnatakse 4-palli süsteemis, kus 4 tähistab väga head, 3 rahuldavat, 2 kesist ja 1 puudulikku. Hindamiskriteeriume on täpsemalt kirjeldatud MTÜ Nelja Valla Kogu strateegias 2015-2020 tabel nr 7 ja dokumendis „MTÜ Nelja Valla Kogu Leader Meetme raames antava projektitaotluste menetlemise ja hindamise kord“.</w:t>
            </w:r>
          </w:p>
        </w:tc>
      </w:tr>
      <w:tr w:rsidR="00665C1A" w:rsidRPr="007A5275" w14:paraId="06BE4360" w14:textId="77777777" w:rsidTr="00665C1A">
        <w:trPr>
          <w:trHeight w:val="270"/>
        </w:trPr>
        <w:tc>
          <w:tcPr>
            <w:tcW w:w="2031" w:type="pct"/>
            <w:tcBorders>
              <w:top w:val="nil"/>
              <w:left w:val="nil"/>
              <w:bottom w:val="nil"/>
              <w:right w:val="nil"/>
            </w:tcBorders>
            <w:shd w:val="clear" w:color="auto" w:fill="auto"/>
            <w:noWrap/>
            <w:hideMark/>
          </w:tcPr>
          <w:p w14:paraId="56FEFC37" w14:textId="77777777" w:rsidR="00665C1A" w:rsidRPr="007A5275" w:rsidRDefault="00665C1A" w:rsidP="00665C1A"/>
        </w:tc>
        <w:tc>
          <w:tcPr>
            <w:tcW w:w="2210" w:type="pct"/>
            <w:tcBorders>
              <w:top w:val="nil"/>
              <w:left w:val="nil"/>
              <w:bottom w:val="nil"/>
              <w:right w:val="nil"/>
            </w:tcBorders>
            <w:shd w:val="clear" w:color="auto" w:fill="auto"/>
            <w:noWrap/>
            <w:hideMark/>
          </w:tcPr>
          <w:p w14:paraId="0F1EAB3E" w14:textId="77777777" w:rsidR="00665C1A" w:rsidRPr="007A5275" w:rsidRDefault="00665C1A" w:rsidP="00665C1A"/>
        </w:tc>
        <w:tc>
          <w:tcPr>
            <w:tcW w:w="115" w:type="pct"/>
            <w:tcBorders>
              <w:top w:val="nil"/>
              <w:left w:val="nil"/>
              <w:bottom w:val="nil"/>
              <w:right w:val="nil"/>
            </w:tcBorders>
            <w:shd w:val="clear" w:color="auto" w:fill="auto"/>
            <w:noWrap/>
            <w:hideMark/>
          </w:tcPr>
          <w:p w14:paraId="269C1429" w14:textId="77777777" w:rsidR="00665C1A" w:rsidRPr="007A5275" w:rsidRDefault="00665C1A" w:rsidP="00665C1A"/>
        </w:tc>
        <w:tc>
          <w:tcPr>
            <w:tcW w:w="115" w:type="pct"/>
            <w:tcBorders>
              <w:top w:val="nil"/>
              <w:left w:val="nil"/>
              <w:bottom w:val="nil"/>
              <w:right w:val="nil"/>
            </w:tcBorders>
            <w:shd w:val="clear" w:color="auto" w:fill="auto"/>
            <w:noWrap/>
            <w:hideMark/>
          </w:tcPr>
          <w:p w14:paraId="4CBE29EF" w14:textId="77777777" w:rsidR="00665C1A" w:rsidRPr="007A5275" w:rsidRDefault="00665C1A" w:rsidP="00665C1A"/>
        </w:tc>
        <w:tc>
          <w:tcPr>
            <w:tcW w:w="115" w:type="pct"/>
            <w:tcBorders>
              <w:top w:val="nil"/>
              <w:left w:val="nil"/>
              <w:bottom w:val="nil"/>
              <w:right w:val="nil"/>
            </w:tcBorders>
            <w:shd w:val="clear" w:color="auto" w:fill="auto"/>
            <w:noWrap/>
            <w:hideMark/>
          </w:tcPr>
          <w:p w14:paraId="365B82C7" w14:textId="77777777" w:rsidR="00665C1A" w:rsidRPr="007A5275" w:rsidRDefault="00665C1A" w:rsidP="00665C1A"/>
        </w:tc>
        <w:tc>
          <w:tcPr>
            <w:tcW w:w="115" w:type="pct"/>
            <w:tcBorders>
              <w:top w:val="nil"/>
              <w:left w:val="nil"/>
              <w:bottom w:val="nil"/>
              <w:right w:val="nil"/>
            </w:tcBorders>
            <w:shd w:val="clear" w:color="auto" w:fill="auto"/>
            <w:noWrap/>
            <w:hideMark/>
          </w:tcPr>
          <w:p w14:paraId="6FB4D4AC" w14:textId="77777777" w:rsidR="00665C1A" w:rsidRPr="007A5275" w:rsidRDefault="00665C1A" w:rsidP="00665C1A"/>
        </w:tc>
        <w:tc>
          <w:tcPr>
            <w:tcW w:w="115" w:type="pct"/>
            <w:tcBorders>
              <w:top w:val="nil"/>
              <w:left w:val="nil"/>
              <w:bottom w:val="nil"/>
              <w:right w:val="nil"/>
            </w:tcBorders>
            <w:shd w:val="clear" w:color="auto" w:fill="auto"/>
            <w:noWrap/>
            <w:hideMark/>
          </w:tcPr>
          <w:p w14:paraId="074FB629" w14:textId="77777777" w:rsidR="00665C1A" w:rsidRPr="007A5275" w:rsidRDefault="00665C1A" w:rsidP="00665C1A"/>
        </w:tc>
        <w:tc>
          <w:tcPr>
            <w:tcW w:w="116" w:type="pct"/>
            <w:tcBorders>
              <w:top w:val="nil"/>
              <w:left w:val="nil"/>
              <w:bottom w:val="nil"/>
              <w:right w:val="nil"/>
            </w:tcBorders>
            <w:shd w:val="clear" w:color="auto" w:fill="auto"/>
            <w:noWrap/>
            <w:hideMark/>
          </w:tcPr>
          <w:p w14:paraId="180BF71F" w14:textId="77777777" w:rsidR="00665C1A" w:rsidRPr="007A5275" w:rsidRDefault="00665C1A" w:rsidP="00665C1A"/>
        </w:tc>
        <w:tc>
          <w:tcPr>
            <w:tcW w:w="68" w:type="pct"/>
            <w:tcBorders>
              <w:top w:val="nil"/>
              <w:left w:val="nil"/>
              <w:bottom w:val="nil"/>
              <w:right w:val="nil"/>
            </w:tcBorders>
            <w:shd w:val="clear" w:color="auto" w:fill="auto"/>
            <w:noWrap/>
            <w:hideMark/>
          </w:tcPr>
          <w:p w14:paraId="1E142AE5" w14:textId="77777777" w:rsidR="00665C1A" w:rsidRPr="007A5275" w:rsidRDefault="00665C1A" w:rsidP="00665C1A"/>
        </w:tc>
      </w:tr>
      <w:tr w:rsidR="00665C1A" w:rsidRPr="007A5275" w14:paraId="65CE3954" w14:textId="77777777" w:rsidTr="00665C1A">
        <w:trPr>
          <w:trHeight w:val="285"/>
        </w:trPr>
        <w:tc>
          <w:tcPr>
            <w:tcW w:w="2031" w:type="pct"/>
            <w:tcBorders>
              <w:top w:val="single" w:sz="4" w:space="0" w:color="auto"/>
              <w:left w:val="nil"/>
              <w:bottom w:val="nil"/>
              <w:right w:val="nil"/>
            </w:tcBorders>
            <w:shd w:val="clear" w:color="000000" w:fill="FFFFFF"/>
            <w:noWrap/>
            <w:hideMark/>
          </w:tcPr>
          <w:p w14:paraId="4C2B657C" w14:textId="77777777" w:rsidR="00665C1A" w:rsidRPr="007A5275" w:rsidRDefault="00665C1A" w:rsidP="00665C1A">
            <w:r w:rsidRPr="007A5275">
              <w:t>¹</w:t>
            </w:r>
          </w:p>
        </w:tc>
        <w:tc>
          <w:tcPr>
            <w:tcW w:w="2325" w:type="pct"/>
            <w:gridSpan w:val="2"/>
            <w:tcBorders>
              <w:top w:val="single" w:sz="4" w:space="0" w:color="auto"/>
              <w:left w:val="nil"/>
              <w:bottom w:val="nil"/>
              <w:right w:val="nil"/>
            </w:tcBorders>
            <w:shd w:val="clear" w:color="000000" w:fill="FFFFFF"/>
            <w:noWrap/>
            <w:vAlign w:val="center"/>
            <w:hideMark/>
          </w:tcPr>
          <w:p w14:paraId="37E114F2" w14:textId="77777777" w:rsidR="00665C1A" w:rsidRPr="007A5275" w:rsidRDefault="00665C1A" w:rsidP="00665C1A">
            <w:r w:rsidRPr="007A5275">
              <w:t>Täidetakse iga strateegia meetme kohta eraldi</w:t>
            </w:r>
          </w:p>
        </w:tc>
        <w:tc>
          <w:tcPr>
            <w:tcW w:w="115" w:type="pct"/>
            <w:tcBorders>
              <w:top w:val="nil"/>
              <w:left w:val="nil"/>
              <w:bottom w:val="nil"/>
              <w:right w:val="nil"/>
            </w:tcBorders>
            <w:shd w:val="clear" w:color="000000" w:fill="FFFFFF"/>
            <w:noWrap/>
            <w:hideMark/>
          </w:tcPr>
          <w:p w14:paraId="50ED6C04" w14:textId="77777777" w:rsidR="00665C1A" w:rsidRPr="007A5275" w:rsidRDefault="00665C1A" w:rsidP="00665C1A">
            <w:r w:rsidRPr="007A5275">
              <w:t> </w:t>
            </w:r>
          </w:p>
        </w:tc>
        <w:tc>
          <w:tcPr>
            <w:tcW w:w="115" w:type="pct"/>
            <w:tcBorders>
              <w:top w:val="nil"/>
              <w:left w:val="nil"/>
              <w:bottom w:val="nil"/>
              <w:right w:val="nil"/>
            </w:tcBorders>
            <w:shd w:val="clear" w:color="000000" w:fill="FFFFFF"/>
            <w:noWrap/>
            <w:hideMark/>
          </w:tcPr>
          <w:p w14:paraId="3F55C911" w14:textId="77777777" w:rsidR="00665C1A" w:rsidRPr="007A5275" w:rsidRDefault="00665C1A" w:rsidP="00665C1A">
            <w:r w:rsidRPr="007A5275">
              <w:t> </w:t>
            </w:r>
          </w:p>
        </w:tc>
        <w:tc>
          <w:tcPr>
            <w:tcW w:w="115" w:type="pct"/>
            <w:tcBorders>
              <w:top w:val="nil"/>
              <w:left w:val="nil"/>
              <w:bottom w:val="nil"/>
              <w:right w:val="nil"/>
            </w:tcBorders>
            <w:shd w:val="clear" w:color="000000" w:fill="FFFFFF"/>
            <w:noWrap/>
            <w:hideMark/>
          </w:tcPr>
          <w:p w14:paraId="590F756E" w14:textId="77777777" w:rsidR="00665C1A" w:rsidRPr="007A5275" w:rsidRDefault="00665C1A" w:rsidP="00665C1A">
            <w:r w:rsidRPr="007A5275">
              <w:t> </w:t>
            </w:r>
          </w:p>
        </w:tc>
        <w:tc>
          <w:tcPr>
            <w:tcW w:w="115" w:type="pct"/>
            <w:tcBorders>
              <w:top w:val="nil"/>
              <w:left w:val="nil"/>
              <w:bottom w:val="nil"/>
              <w:right w:val="nil"/>
            </w:tcBorders>
            <w:shd w:val="clear" w:color="000000" w:fill="FFFFFF"/>
            <w:noWrap/>
            <w:hideMark/>
          </w:tcPr>
          <w:p w14:paraId="4118D826" w14:textId="77777777" w:rsidR="00665C1A" w:rsidRPr="007A5275" w:rsidRDefault="00665C1A" w:rsidP="00665C1A">
            <w:r w:rsidRPr="007A5275">
              <w:t> </w:t>
            </w:r>
          </w:p>
        </w:tc>
        <w:tc>
          <w:tcPr>
            <w:tcW w:w="116" w:type="pct"/>
            <w:tcBorders>
              <w:top w:val="nil"/>
              <w:left w:val="nil"/>
              <w:bottom w:val="nil"/>
              <w:right w:val="nil"/>
            </w:tcBorders>
            <w:shd w:val="clear" w:color="000000" w:fill="FFFFFF"/>
            <w:noWrap/>
            <w:hideMark/>
          </w:tcPr>
          <w:p w14:paraId="712905D0" w14:textId="77777777" w:rsidR="00665C1A" w:rsidRPr="007A5275" w:rsidRDefault="00665C1A" w:rsidP="00665C1A">
            <w:r w:rsidRPr="007A5275">
              <w:t> </w:t>
            </w:r>
          </w:p>
        </w:tc>
        <w:tc>
          <w:tcPr>
            <w:tcW w:w="68" w:type="pct"/>
            <w:tcBorders>
              <w:top w:val="nil"/>
              <w:left w:val="nil"/>
              <w:bottom w:val="nil"/>
              <w:right w:val="nil"/>
            </w:tcBorders>
            <w:shd w:val="clear" w:color="000000" w:fill="FFFFFF"/>
            <w:noWrap/>
            <w:hideMark/>
          </w:tcPr>
          <w:p w14:paraId="4DD0FEDD" w14:textId="77777777" w:rsidR="00665C1A" w:rsidRPr="007A5275" w:rsidRDefault="00665C1A" w:rsidP="00665C1A">
            <w:r w:rsidRPr="007A5275">
              <w:t> </w:t>
            </w:r>
          </w:p>
        </w:tc>
      </w:tr>
      <w:tr w:rsidR="00665C1A" w:rsidRPr="007A5275" w14:paraId="5509653F" w14:textId="77777777" w:rsidTr="00665C1A">
        <w:trPr>
          <w:trHeight w:val="780"/>
        </w:trPr>
        <w:tc>
          <w:tcPr>
            <w:tcW w:w="2031" w:type="pct"/>
            <w:tcBorders>
              <w:top w:val="nil"/>
              <w:left w:val="nil"/>
              <w:bottom w:val="nil"/>
              <w:right w:val="nil"/>
            </w:tcBorders>
            <w:shd w:val="clear" w:color="000000" w:fill="FFFFFF"/>
            <w:noWrap/>
            <w:hideMark/>
          </w:tcPr>
          <w:p w14:paraId="337A2B93" w14:textId="77777777" w:rsidR="00665C1A" w:rsidRPr="007A5275" w:rsidRDefault="00665C1A" w:rsidP="00665C1A">
            <w:r w:rsidRPr="007A5275">
              <w:t>²</w:t>
            </w:r>
          </w:p>
        </w:tc>
        <w:tc>
          <w:tcPr>
            <w:tcW w:w="2969" w:type="pct"/>
            <w:gridSpan w:val="8"/>
            <w:tcBorders>
              <w:top w:val="nil"/>
              <w:left w:val="nil"/>
              <w:bottom w:val="nil"/>
              <w:right w:val="nil"/>
            </w:tcBorders>
            <w:shd w:val="clear" w:color="000000" w:fill="FFFFFF"/>
            <w:hideMark/>
          </w:tcPr>
          <w:p w14:paraId="70E67AFE" w14:textId="77777777" w:rsidR="00665C1A" w:rsidRPr="007A5275" w:rsidRDefault="00665C1A" w:rsidP="00665C1A">
            <w:r w:rsidRPr="007A5275">
              <w:t xml:space="preserve">Märgitakse, kas strateegia meede võib sisaldada ka investeeringuid. Eraldi tuuakse välja investeeringud , mille puhul on lubatud taotleda projektitoetust mitmes etapis ja võtta investeering sihtotstarbelisse kasutusse § 42 lõike 7 punktis 1 sätestatust pikema tähtaja jooksul.  Märgitakse, kas strateegia meede võib sisaldada ka investeeringuid. </w:t>
            </w:r>
          </w:p>
        </w:tc>
      </w:tr>
      <w:tr w:rsidR="00665C1A" w:rsidRPr="007A5275" w14:paraId="45228BE0" w14:textId="77777777" w:rsidTr="00665C1A">
        <w:trPr>
          <w:trHeight w:val="330"/>
        </w:trPr>
        <w:tc>
          <w:tcPr>
            <w:tcW w:w="4587" w:type="pct"/>
            <w:gridSpan w:val="5"/>
            <w:tcBorders>
              <w:top w:val="nil"/>
              <w:left w:val="nil"/>
              <w:bottom w:val="nil"/>
              <w:right w:val="nil"/>
            </w:tcBorders>
            <w:shd w:val="clear" w:color="000000" w:fill="FFFFFF"/>
            <w:noWrap/>
            <w:hideMark/>
          </w:tcPr>
          <w:p w14:paraId="647E0F35" w14:textId="77777777" w:rsidR="00665C1A" w:rsidRPr="007A5275" w:rsidRDefault="00665C1A" w:rsidP="00665C1A">
            <w:r w:rsidRPr="007A5275">
              <w:rPr>
                <w:vertAlign w:val="superscript"/>
              </w:rPr>
              <w:t xml:space="preserve">3      </w:t>
            </w:r>
            <w:r w:rsidRPr="007A5275">
              <w:t>Euroopa Parlamendi ja nõukogu määrus (EL) nr 1305/2013</w:t>
            </w:r>
          </w:p>
        </w:tc>
        <w:tc>
          <w:tcPr>
            <w:tcW w:w="115" w:type="pct"/>
            <w:tcBorders>
              <w:top w:val="nil"/>
              <w:left w:val="nil"/>
              <w:bottom w:val="nil"/>
              <w:right w:val="nil"/>
            </w:tcBorders>
            <w:shd w:val="clear" w:color="000000" w:fill="FFFFFF"/>
            <w:noWrap/>
            <w:hideMark/>
          </w:tcPr>
          <w:p w14:paraId="531A3E9E" w14:textId="77777777" w:rsidR="00665C1A" w:rsidRPr="007A5275" w:rsidRDefault="00665C1A" w:rsidP="00665C1A">
            <w:r w:rsidRPr="007A5275">
              <w:t> </w:t>
            </w:r>
          </w:p>
        </w:tc>
        <w:tc>
          <w:tcPr>
            <w:tcW w:w="115" w:type="pct"/>
            <w:tcBorders>
              <w:top w:val="nil"/>
              <w:left w:val="nil"/>
              <w:bottom w:val="nil"/>
              <w:right w:val="nil"/>
            </w:tcBorders>
            <w:shd w:val="clear" w:color="000000" w:fill="FFFFFF"/>
            <w:noWrap/>
            <w:hideMark/>
          </w:tcPr>
          <w:p w14:paraId="30E10F7D" w14:textId="77777777" w:rsidR="00665C1A" w:rsidRPr="007A5275" w:rsidRDefault="00665C1A" w:rsidP="00665C1A">
            <w:r w:rsidRPr="007A5275">
              <w:t> </w:t>
            </w:r>
          </w:p>
        </w:tc>
        <w:tc>
          <w:tcPr>
            <w:tcW w:w="116" w:type="pct"/>
            <w:tcBorders>
              <w:top w:val="nil"/>
              <w:left w:val="nil"/>
              <w:bottom w:val="nil"/>
              <w:right w:val="nil"/>
            </w:tcBorders>
            <w:shd w:val="clear" w:color="000000" w:fill="FFFFFF"/>
            <w:noWrap/>
            <w:hideMark/>
          </w:tcPr>
          <w:p w14:paraId="451BEAF4" w14:textId="77777777" w:rsidR="00665C1A" w:rsidRPr="007A5275" w:rsidRDefault="00665C1A" w:rsidP="00665C1A">
            <w:r w:rsidRPr="007A5275">
              <w:t> </w:t>
            </w:r>
          </w:p>
        </w:tc>
        <w:tc>
          <w:tcPr>
            <w:tcW w:w="68" w:type="pct"/>
            <w:tcBorders>
              <w:top w:val="nil"/>
              <w:left w:val="nil"/>
              <w:bottom w:val="nil"/>
              <w:right w:val="nil"/>
            </w:tcBorders>
            <w:shd w:val="clear" w:color="000000" w:fill="FFFFFF"/>
            <w:noWrap/>
            <w:hideMark/>
          </w:tcPr>
          <w:p w14:paraId="5B11637D" w14:textId="77777777" w:rsidR="00665C1A" w:rsidRPr="007A5275" w:rsidRDefault="00665C1A" w:rsidP="00665C1A">
            <w:r w:rsidRPr="007A5275">
              <w:t> </w:t>
            </w:r>
          </w:p>
        </w:tc>
      </w:tr>
      <w:tr w:rsidR="00665C1A" w:rsidRPr="007A5275" w14:paraId="7ED25A19" w14:textId="77777777" w:rsidTr="00665C1A">
        <w:trPr>
          <w:trHeight w:val="285"/>
        </w:trPr>
        <w:tc>
          <w:tcPr>
            <w:tcW w:w="2031" w:type="pct"/>
            <w:tcBorders>
              <w:top w:val="nil"/>
              <w:left w:val="nil"/>
              <w:bottom w:val="nil"/>
              <w:right w:val="nil"/>
            </w:tcBorders>
            <w:shd w:val="clear" w:color="000000" w:fill="FFFFFF"/>
            <w:noWrap/>
            <w:hideMark/>
          </w:tcPr>
          <w:p w14:paraId="595CE591" w14:textId="77777777" w:rsidR="00665C1A" w:rsidRPr="007A5275" w:rsidRDefault="00665C1A" w:rsidP="00665C1A">
            <w:r w:rsidRPr="007A5275">
              <w:t> </w:t>
            </w:r>
          </w:p>
        </w:tc>
        <w:tc>
          <w:tcPr>
            <w:tcW w:w="2901" w:type="pct"/>
            <w:gridSpan w:val="7"/>
            <w:tcBorders>
              <w:top w:val="nil"/>
              <w:left w:val="nil"/>
              <w:bottom w:val="nil"/>
              <w:right w:val="nil"/>
            </w:tcBorders>
            <w:shd w:val="clear" w:color="000000" w:fill="FFFFFF"/>
            <w:noWrap/>
            <w:hideMark/>
          </w:tcPr>
          <w:p w14:paraId="5BDFD9AB" w14:textId="77777777" w:rsidR="00665C1A" w:rsidRPr="007A5275" w:rsidRDefault="009F0D0B" w:rsidP="00665C1A">
            <w:pPr>
              <w:rPr>
                <w:u w:val="single"/>
              </w:rPr>
            </w:pPr>
            <w:hyperlink r:id="rId13" w:history="1">
              <w:r w:rsidR="00665C1A" w:rsidRPr="007A5275">
                <w:rPr>
                  <w:rStyle w:val="Hperlink"/>
                </w:rPr>
                <w:t>http://eur-lex.europa.eu/LexUriServ/LexUriServ.do?uri=OJ:L:2013:347:0487:0548:ET:PDF</w:t>
              </w:r>
            </w:hyperlink>
          </w:p>
        </w:tc>
        <w:tc>
          <w:tcPr>
            <w:tcW w:w="68" w:type="pct"/>
            <w:tcBorders>
              <w:top w:val="nil"/>
              <w:left w:val="nil"/>
              <w:bottom w:val="nil"/>
              <w:right w:val="nil"/>
            </w:tcBorders>
            <w:shd w:val="clear" w:color="000000" w:fill="FFFFFF"/>
            <w:noWrap/>
            <w:hideMark/>
          </w:tcPr>
          <w:p w14:paraId="35AE67D6" w14:textId="77777777" w:rsidR="00665C1A" w:rsidRPr="007A5275" w:rsidRDefault="00665C1A" w:rsidP="00665C1A">
            <w:r w:rsidRPr="007A5275">
              <w:t> </w:t>
            </w:r>
          </w:p>
        </w:tc>
      </w:tr>
      <w:tr w:rsidR="00665C1A" w:rsidRPr="007A5275" w14:paraId="3F5A7A09" w14:textId="77777777" w:rsidTr="00665C1A">
        <w:trPr>
          <w:trHeight w:val="285"/>
        </w:trPr>
        <w:tc>
          <w:tcPr>
            <w:tcW w:w="2031" w:type="pct"/>
            <w:tcBorders>
              <w:top w:val="nil"/>
              <w:left w:val="nil"/>
              <w:bottom w:val="nil"/>
              <w:right w:val="nil"/>
            </w:tcBorders>
            <w:shd w:val="clear" w:color="auto" w:fill="auto"/>
            <w:noWrap/>
            <w:hideMark/>
          </w:tcPr>
          <w:p w14:paraId="66D77DB8" w14:textId="77777777" w:rsidR="00665C1A" w:rsidRPr="007A5275" w:rsidRDefault="00665C1A" w:rsidP="00665C1A"/>
        </w:tc>
        <w:tc>
          <w:tcPr>
            <w:tcW w:w="2210" w:type="pct"/>
            <w:tcBorders>
              <w:top w:val="nil"/>
              <w:left w:val="nil"/>
              <w:bottom w:val="nil"/>
              <w:right w:val="nil"/>
            </w:tcBorders>
            <w:shd w:val="clear" w:color="auto" w:fill="auto"/>
            <w:noWrap/>
            <w:hideMark/>
          </w:tcPr>
          <w:p w14:paraId="73FEF9CC" w14:textId="77777777" w:rsidR="00665C1A" w:rsidRPr="007A5275" w:rsidRDefault="00665C1A" w:rsidP="00665C1A"/>
        </w:tc>
        <w:tc>
          <w:tcPr>
            <w:tcW w:w="115" w:type="pct"/>
            <w:tcBorders>
              <w:top w:val="nil"/>
              <w:left w:val="nil"/>
              <w:bottom w:val="nil"/>
              <w:right w:val="nil"/>
            </w:tcBorders>
            <w:shd w:val="clear" w:color="auto" w:fill="auto"/>
            <w:noWrap/>
            <w:hideMark/>
          </w:tcPr>
          <w:p w14:paraId="17C1EDEA" w14:textId="77777777" w:rsidR="00665C1A" w:rsidRPr="007A5275" w:rsidRDefault="00665C1A" w:rsidP="00665C1A"/>
        </w:tc>
        <w:tc>
          <w:tcPr>
            <w:tcW w:w="115" w:type="pct"/>
            <w:tcBorders>
              <w:top w:val="nil"/>
              <w:left w:val="nil"/>
              <w:bottom w:val="nil"/>
              <w:right w:val="nil"/>
            </w:tcBorders>
            <w:shd w:val="clear" w:color="auto" w:fill="auto"/>
            <w:noWrap/>
            <w:hideMark/>
          </w:tcPr>
          <w:p w14:paraId="05D0E594" w14:textId="77777777" w:rsidR="00665C1A" w:rsidRPr="007A5275" w:rsidRDefault="00665C1A" w:rsidP="00665C1A"/>
        </w:tc>
        <w:tc>
          <w:tcPr>
            <w:tcW w:w="115" w:type="pct"/>
            <w:tcBorders>
              <w:top w:val="nil"/>
              <w:left w:val="nil"/>
              <w:bottom w:val="nil"/>
              <w:right w:val="nil"/>
            </w:tcBorders>
            <w:shd w:val="clear" w:color="auto" w:fill="auto"/>
            <w:noWrap/>
            <w:hideMark/>
          </w:tcPr>
          <w:p w14:paraId="3A0421C1" w14:textId="77777777" w:rsidR="00665C1A" w:rsidRPr="007A5275" w:rsidRDefault="00665C1A" w:rsidP="00665C1A"/>
        </w:tc>
        <w:tc>
          <w:tcPr>
            <w:tcW w:w="115" w:type="pct"/>
            <w:tcBorders>
              <w:top w:val="nil"/>
              <w:left w:val="nil"/>
              <w:bottom w:val="nil"/>
              <w:right w:val="nil"/>
            </w:tcBorders>
            <w:shd w:val="clear" w:color="auto" w:fill="auto"/>
            <w:noWrap/>
            <w:hideMark/>
          </w:tcPr>
          <w:p w14:paraId="4B8FAB6D" w14:textId="77777777" w:rsidR="00665C1A" w:rsidRPr="007A5275" w:rsidRDefault="00665C1A" w:rsidP="00665C1A"/>
        </w:tc>
        <w:tc>
          <w:tcPr>
            <w:tcW w:w="115" w:type="pct"/>
            <w:tcBorders>
              <w:top w:val="nil"/>
              <w:left w:val="nil"/>
              <w:bottom w:val="nil"/>
              <w:right w:val="nil"/>
            </w:tcBorders>
            <w:shd w:val="clear" w:color="auto" w:fill="auto"/>
            <w:noWrap/>
            <w:hideMark/>
          </w:tcPr>
          <w:p w14:paraId="61B044EB" w14:textId="77777777" w:rsidR="00665C1A" w:rsidRPr="007A5275" w:rsidRDefault="00665C1A" w:rsidP="00665C1A"/>
        </w:tc>
        <w:tc>
          <w:tcPr>
            <w:tcW w:w="116" w:type="pct"/>
            <w:tcBorders>
              <w:top w:val="nil"/>
              <w:left w:val="nil"/>
              <w:bottom w:val="nil"/>
              <w:right w:val="nil"/>
            </w:tcBorders>
            <w:shd w:val="clear" w:color="auto" w:fill="auto"/>
            <w:noWrap/>
            <w:hideMark/>
          </w:tcPr>
          <w:p w14:paraId="4250E0C9" w14:textId="77777777" w:rsidR="00665C1A" w:rsidRPr="007A5275" w:rsidRDefault="00665C1A" w:rsidP="00665C1A"/>
        </w:tc>
        <w:tc>
          <w:tcPr>
            <w:tcW w:w="68" w:type="pct"/>
            <w:tcBorders>
              <w:top w:val="nil"/>
              <w:left w:val="nil"/>
              <w:bottom w:val="nil"/>
              <w:right w:val="nil"/>
            </w:tcBorders>
            <w:shd w:val="clear" w:color="auto" w:fill="auto"/>
            <w:noWrap/>
            <w:hideMark/>
          </w:tcPr>
          <w:p w14:paraId="33CC4AB3" w14:textId="77777777" w:rsidR="00665C1A" w:rsidRPr="007A5275" w:rsidRDefault="00665C1A" w:rsidP="00665C1A"/>
        </w:tc>
      </w:tr>
    </w:tbl>
    <w:p w14:paraId="0D089047" w14:textId="77777777" w:rsidR="00294E6C" w:rsidRPr="007A5275" w:rsidRDefault="00294E6C"/>
    <w:p w14:paraId="1C93A194" w14:textId="77777777" w:rsidR="00716523" w:rsidRPr="007A5275" w:rsidRDefault="00716523"/>
    <w:p w14:paraId="66AA5D91" w14:textId="77777777" w:rsidR="00716523" w:rsidRPr="007A5275" w:rsidRDefault="00716523"/>
    <w:sectPr w:rsidR="00716523" w:rsidRPr="007A5275" w:rsidSect="000951C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02059" w14:textId="77777777" w:rsidR="00EA399B" w:rsidRDefault="00EA399B" w:rsidP="000E69B6">
      <w:pPr>
        <w:spacing w:after="0" w:line="240" w:lineRule="auto"/>
      </w:pPr>
      <w:r>
        <w:separator/>
      </w:r>
    </w:p>
  </w:endnote>
  <w:endnote w:type="continuationSeparator" w:id="0">
    <w:p w14:paraId="61964A94" w14:textId="77777777" w:rsidR="00EA399B" w:rsidRDefault="00EA399B" w:rsidP="000E6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0B555" w14:textId="77777777" w:rsidR="00EA399B" w:rsidRDefault="00EA399B" w:rsidP="000E69B6">
      <w:pPr>
        <w:spacing w:after="0" w:line="240" w:lineRule="auto"/>
      </w:pPr>
      <w:r>
        <w:separator/>
      </w:r>
    </w:p>
  </w:footnote>
  <w:footnote w:type="continuationSeparator" w:id="0">
    <w:p w14:paraId="07BA0AE6" w14:textId="77777777" w:rsidR="00EA399B" w:rsidRDefault="00EA399B" w:rsidP="000E6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833"/>
    <w:multiLevelType w:val="hybridMultilevel"/>
    <w:tmpl w:val="29C4D0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60F8C"/>
    <w:multiLevelType w:val="hybridMultilevel"/>
    <w:tmpl w:val="430EECBE"/>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5843BBB"/>
    <w:multiLevelType w:val="hybridMultilevel"/>
    <w:tmpl w:val="5A722FA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F2F1F43"/>
    <w:multiLevelType w:val="hybridMultilevel"/>
    <w:tmpl w:val="F238FD08"/>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129D3E2E"/>
    <w:multiLevelType w:val="hybridMultilevel"/>
    <w:tmpl w:val="36E0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710F7"/>
    <w:multiLevelType w:val="hybridMultilevel"/>
    <w:tmpl w:val="0ACA3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52C28"/>
    <w:multiLevelType w:val="hybridMultilevel"/>
    <w:tmpl w:val="5DE46A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24C720F"/>
    <w:multiLevelType w:val="hybridMultilevel"/>
    <w:tmpl w:val="FD08A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022CE"/>
    <w:multiLevelType w:val="hybridMultilevel"/>
    <w:tmpl w:val="5C2A4F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B651E"/>
    <w:multiLevelType w:val="hybridMultilevel"/>
    <w:tmpl w:val="F81A7E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D1C92"/>
    <w:multiLevelType w:val="hybridMultilevel"/>
    <w:tmpl w:val="8ECA7AD8"/>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1D02DFB"/>
    <w:multiLevelType w:val="hybridMultilevel"/>
    <w:tmpl w:val="780E1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A5A6D"/>
    <w:multiLevelType w:val="multilevel"/>
    <w:tmpl w:val="62D8798E"/>
    <w:lvl w:ilvl="0">
      <w:start w:val="1"/>
      <w:numFmt w:val="decimal"/>
      <w:pStyle w:val="Pealkiri1"/>
      <w:lvlText w:val="%1"/>
      <w:lvlJc w:val="left"/>
      <w:pPr>
        <w:ind w:left="432" w:hanging="432"/>
      </w:p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13" w15:restartNumberingAfterBreak="0">
    <w:nsid w:val="443271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A052EA"/>
    <w:multiLevelType w:val="hybridMultilevel"/>
    <w:tmpl w:val="5F443C22"/>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78E5181"/>
    <w:multiLevelType w:val="hybridMultilevel"/>
    <w:tmpl w:val="1B18ADFC"/>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A5850A0"/>
    <w:multiLevelType w:val="hybridMultilevel"/>
    <w:tmpl w:val="C268B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60D83"/>
    <w:multiLevelType w:val="hybridMultilevel"/>
    <w:tmpl w:val="144295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B30D9"/>
    <w:multiLevelType w:val="hybridMultilevel"/>
    <w:tmpl w:val="21924BB6"/>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56B23344"/>
    <w:multiLevelType w:val="hybridMultilevel"/>
    <w:tmpl w:val="D3560382"/>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0" w15:restartNumberingAfterBreak="0">
    <w:nsid w:val="57C97EFB"/>
    <w:multiLevelType w:val="hybridMultilevel"/>
    <w:tmpl w:val="98488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A72AB"/>
    <w:multiLevelType w:val="hybridMultilevel"/>
    <w:tmpl w:val="C8561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FA0570"/>
    <w:multiLevelType w:val="hybridMultilevel"/>
    <w:tmpl w:val="6F4E5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DC430C"/>
    <w:multiLevelType w:val="hybridMultilevel"/>
    <w:tmpl w:val="E5825E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5476B4"/>
    <w:multiLevelType w:val="hybridMultilevel"/>
    <w:tmpl w:val="93304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97DEA"/>
    <w:multiLevelType w:val="hybridMultilevel"/>
    <w:tmpl w:val="81ECC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22"/>
  </w:num>
  <w:num w:numId="4">
    <w:abstractNumId w:val="1"/>
  </w:num>
  <w:num w:numId="5">
    <w:abstractNumId w:val="15"/>
  </w:num>
  <w:num w:numId="6">
    <w:abstractNumId w:val="23"/>
  </w:num>
  <w:num w:numId="7">
    <w:abstractNumId w:val="0"/>
  </w:num>
  <w:num w:numId="8">
    <w:abstractNumId w:val="21"/>
  </w:num>
  <w:num w:numId="9">
    <w:abstractNumId w:val="5"/>
  </w:num>
  <w:num w:numId="10">
    <w:abstractNumId w:val="10"/>
  </w:num>
  <w:num w:numId="11">
    <w:abstractNumId w:val="13"/>
  </w:num>
  <w:num w:numId="12">
    <w:abstractNumId w:val="24"/>
  </w:num>
  <w:num w:numId="13">
    <w:abstractNumId w:val="9"/>
  </w:num>
  <w:num w:numId="14">
    <w:abstractNumId w:val="4"/>
  </w:num>
  <w:num w:numId="15">
    <w:abstractNumId w:val="19"/>
  </w:num>
  <w:num w:numId="16">
    <w:abstractNumId w:val="3"/>
  </w:num>
  <w:num w:numId="17">
    <w:abstractNumId w:val="12"/>
  </w:num>
  <w:num w:numId="18">
    <w:abstractNumId w:val="20"/>
  </w:num>
  <w:num w:numId="19">
    <w:abstractNumId w:val="25"/>
  </w:num>
  <w:num w:numId="20">
    <w:abstractNumId w:val="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8"/>
  </w:num>
  <w:num w:numId="24">
    <w:abstractNumId w:val="7"/>
  </w:num>
  <w:num w:numId="25">
    <w:abstractNumId w:val="18"/>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5B4"/>
    <w:rsid w:val="000626AB"/>
    <w:rsid w:val="000951C3"/>
    <w:rsid w:val="000A5672"/>
    <w:rsid w:val="000C55B4"/>
    <w:rsid w:val="000D6BE9"/>
    <w:rsid w:val="000E69B6"/>
    <w:rsid w:val="001D134F"/>
    <w:rsid w:val="001D47FD"/>
    <w:rsid w:val="00200630"/>
    <w:rsid w:val="00294E6C"/>
    <w:rsid w:val="002B3405"/>
    <w:rsid w:val="00303BDC"/>
    <w:rsid w:val="004865DC"/>
    <w:rsid w:val="004954D2"/>
    <w:rsid w:val="004C575D"/>
    <w:rsid w:val="004E2F4E"/>
    <w:rsid w:val="005315C5"/>
    <w:rsid w:val="00542621"/>
    <w:rsid w:val="0055044E"/>
    <w:rsid w:val="00580C4F"/>
    <w:rsid w:val="005B1E54"/>
    <w:rsid w:val="005E0515"/>
    <w:rsid w:val="005F0B1B"/>
    <w:rsid w:val="00665C1A"/>
    <w:rsid w:val="006919F9"/>
    <w:rsid w:val="00716523"/>
    <w:rsid w:val="00731661"/>
    <w:rsid w:val="007767C7"/>
    <w:rsid w:val="007843BA"/>
    <w:rsid w:val="007A5275"/>
    <w:rsid w:val="00843118"/>
    <w:rsid w:val="009261E2"/>
    <w:rsid w:val="009F0D0B"/>
    <w:rsid w:val="00A132A5"/>
    <w:rsid w:val="00A47B15"/>
    <w:rsid w:val="00B0309F"/>
    <w:rsid w:val="00BA3B15"/>
    <w:rsid w:val="00BC6B49"/>
    <w:rsid w:val="00C064EB"/>
    <w:rsid w:val="00D37DF6"/>
    <w:rsid w:val="00DD0B02"/>
    <w:rsid w:val="00EA399B"/>
    <w:rsid w:val="00EC4946"/>
    <w:rsid w:val="00F82E9D"/>
    <w:rsid w:val="00FD3B28"/>
    <w:rsid w:val="00FD4A9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535E"/>
  <w15:chartTrackingRefBased/>
  <w15:docId w15:val="{B55E4250-25E4-460A-826D-2FCD5587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D6BE9"/>
  </w:style>
  <w:style w:type="paragraph" w:styleId="Pealkiri1">
    <w:name w:val="heading 1"/>
    <w:basedOn w:val="Normaallaad"/>
    <w:next w:val="Normaallaad"/>
    <w:link w:val="Pealkiri1Mrk"/>
    <w:uiPriority w:val="9"/>
    <w:qFormat/>
    <w:rsid w:val="00843118"/>
    <w:pPr>
      <w:keepNext/>
      <w:keepLines/>
      <w:numPr>
        <w:numId w:val="17"/>
      </w:numPr>
      <w:spacing w:after="0" w:line="240" w:lineRule="auto"/>
      <w:jc w:val="both"/>
      <w:outlineLvl w:val="0"/>
    </w:pPr>
    <w:rPr>
      <w:rFonts w:ascii="Arial" w:eastAsiaTheme="majorEastAsia" w:hAnsi="Arial" w:cstheme="majorBidi"/>
      <w:b/>
      <w:bCs/>
      <w:sz w:val="30"/>
      <w:szCs w:val="32"/>
      <w:lang w:val="en-US"/>
    </w:rPr>
  </w:style>
  <w:style w:type="paragraph" w:styleId="Pealkiri2">
    <w:name w:val="heading 2"/>
    <w:basedOn w:val="Normaallaad"/>
    <w:next w:val="Normaallaad"/>
    <w:link w:val="Pealkiri2Mrk"/>
    <w:uiPriority w:val="9"/>
    <w:unhideWhenUsed/>
    <w:qFormat/>
    <w:rsid w:val="00843118"/>
    <w:pPr>
      <w:keepNext/>
      <w:keepLines/>
      <w:numPr>
        <w:ilvl w:val="1"/>
        <w:numId w:val="17"/>
      </w:numPr>
      <w:spacing w:after="0" w:line="240" w:lineRule="auto"/>
      <w:jc w:val="both"/>
      <w:outlineLvl w:val="1"/>
    </w:pPr>
    <w:rPr>
      <w:rFonts w:ascii="Arial" w:eastAsiaTheme="majorEastAsia" w:hAnsi="Arial" w:cstheme="majorBidi"/>
      <w:b/>
      <w:bCs/>
      <w:i/>
      <w:sz w:val="28"/>
      <w:szCs w:val="26"/>
      <w:lang w:val="en-US"/>
    </w:rPr>
  </w:style>
  <w:style w:type="paragraph" w:styleId="Pealkiri3">
    <w:name w:val="heading 3"/>
    <w:basedOn w:val="Normaallaad"/>
    <w:next w:val="Normaallaad"/>
    <w:link w:val="Pealkiri3Mrk"/>
    <w:uiPriority w:val="9"/>
    <w:unhideWhenUsed/>
    <w:qFormat/>
    <w:rsid w:val="00843118"/>
    <w:pPr>
      <w:keepNext/>
      <w:keepLines/>
      <w:numPr>
        <w:ilvl w:val="2"/>
        <w:numId w:val="17"/>
      </w:numPr>
      <w:spacing w:after="0" w:line="240" w:lineRule="auto"/>
      <w:jc w:val="both"/>
      <w:outlineLvl w:val="2"/>
    </w:pPr>
    <w:rPr>
      <w:rFonts w:ascii="Arial" w:eastAsiaTheme="majorEastAsia" w:hAnsi="Arial" w:cstheme="majorBidi"/>
      <w:b/>
      <w:bCs/>
      <w:sz w:val="26"/>
      <w:szCs w:val="24"/>
      <w:lang w:val="en-US"/>
    </w:rPr>
  </w:style>
  <w:style w:type="paragraph" w:styleId="Pealkiri4">
    <w:name w:val="heading 4"/>
    <w:basedOn w:val="Normaallaad"/>
    <w:next w:val="Normaallaad"/>
    <w:link w:val="Pealkiri4Mrk"/>
    <w:uiPriority w:val="9"/>
    <w:semiHidden/>
    <w:unhideWhenUsed/>
    <w:qFormat/>
    <w:rsid w:val="00843118"/>
    <w:pPr>
      <w:keepNext/>
      <w:keepLines/>
      <w:numPr>
        <w:ilvl w:val="3"/>
        <w:numId w:val="17"/>
      </w:numPr>
      <w:spacing w:before="200" w:after="0" w:line="240" w:lineRule="auto"/>
      <w:jc w:val="both"/>
      <w:outlineLvl w:val="3"/>
    </w:pPr>
    <w:rPr>
      <w:rFonts w:asciiTheme="majorHAnsi" w:eastAsiaTheme="majorEastAsia" w:hAnsiTheme="majorHAnsi" w:cstheme="majorBidi"/>
      <w:b/>
      <w:bCs/>
      <w:i/>
      <w:iCs/>
      <w:color w:val="5B9BD5" w:themeColor="accent1"/>
      <w:szCs w:val="24"/>
      <w:lang w:val="en-US"/>
    </w:rPr>
  </w:style>
  <w:style w:type="paragraph" w:styleId="Pealkiri5">
    <w:name w:val="heading 5"/>
    <w:basedOn w:val="Normaallaad"/>
    <w:next w:val="Normaallaad"/>
    <w:link w:val="Pealkiri5Mrk"/>
    <w:uiPriority w:val="9"/>
    <w:semiHidden/>
    <w:unhideWhenUsed/>
    <w:qFormat/>
    <w:rsid w:val="00843118"/>
    <w:pPr>
      <w:keepNext/>
      <w:keepLines/>
      <w:numPr>
        <w:ilvl w:val="4"/>
        <w:numId w:val="17"/>
      </w:numPr>
      <w:spacing w:before="200" w:after="0" w:line="240" w:lineRule="auto"/>
      <w:jc w:val="both"/>
      <w:outlineLvl w:val="4"/>
    </w:pPr>
    <w:rPr>
      <w:rFonts w:asciiTheme="majorHAnsi" w:eastAsiaTheme="majorEastAsia" w:hAnsiTheme="majorHAnsi" w:cstheme="majorBidi"/>
      <w:color w:val="1F4D78" w:themeColor="accent1" w:themeShade="7F"/>
      <w:szCs w:val="24"/>
      <w:lang w:val="en-US"/>
    </w:rPr>
  </w:style>
  <w:style w:type="paragraph" w:styleId="Pealkiri6">
    <w:name w:val="heading 6"/>
    <w:basedOn w:val="Normaallaad"/>
    <w:next w:val="Normaallaad"/>
    <w:link w:val="Pealkiri6Mrk"/>
    <w:uiPriority w:val="9"/>
    <w:semiHidden/>
    <w:unhideWhenUsed/>
    <w:qFormat/>
    <w:rsid w:val="00843118"/>
    <w:pPr>
      <w:keepNext/>
      <w:keepLines/>
      <w:numPr>
        <w:ilvl w:val="5"/>
        <w:numId w:val="17"/>
      </w:numPr>
      <w:spacing w:before="200" w:after="0" w:line="240" w:lineRule="auto"/>
      <w:jc w:val="both"/>
      <w:outlineLvl w:val="5"/>
    </w:pPr>
    <w:rPr>
      <w:rFonts w:asciiTheme="majorHAnsi" w:eastAsiaTheme="majorEastAsia" w:hAnsiTheme="majorHAnsi" w:cstheme="majorBidi"/>
      <w:i/>
      <w:iCs/>
      <w:color w:val="1F4D78" w:themeColor="accent1" w:themeShade="7F"/>
      <w:szCs w:val="24"/>
      <w:lang w:val="en-US"/>
    </w:rPr>
  </w:style>
  <w:style w:type="paragraph" w:styleId="Pealkiri7">
    <w:name w:val="heading 7"/>
    <w:basedOn w:val="Normaallaad"/>
    <w:next w:val="Normaallaad"/>
    <w:link w:val="Pealkiri7Mrk"/>
    <w:uiPriority w:val="9"/>
    <w:semiHidden/>
    <w:unhideWhenUsed/>
    <w:qFormat/>
    <w:rsid w:val="00843118"/>
    <w:pPr>
      <w:keepNext/>
      <w:keepLines/>
      <w:numPr>
        <w:ilvl w:val="6"/>
        <w:numId w:val="17"/>
      </w:numPr>
      <w:spacing w:before="200" w:after="0" w:line="240" w:lineRule="auto"/>
      <w:jc w:val="both"/>
      <w:outlineLvl w:val="6"/>
    </w:pPr>
    <w:rPr>
      <w:rFonts w:asciiTheme="majorHAnsi" w:eastAsiaTheme="majorEastAsia" w:hAnsiTheme="majorHAnsi" w:cstheme="majorBidi"/>
      <w:i/>
      <w:iCs/>
      <w:color w:val="404040" w:themeColor="text1" w:themeTint="BF"/>
      <w:szCs w:val="24"/>
      <w:lang w:val="en-US"/>
    </w:rPr>
  </w:style>
  <w:style w:type="paragraph" w:styleId="Pealkiri8">
    <w:name w:val="heading 8"/>
    <w:basedOn w:val="Normaallaad"/>
    <w:next w:val="Normaallaad"/>
    <w:link w:val="Pealkiri8Mrk"/>
    <w:uiPriority w:val="9"/>
    <w:semiHidden/>
    <w:unhideWhenUsed/>
    <w:qFormat/>
    <w:rsid w:val="00843118"/>
    <w:pPr>
      <w:keepNext/>
      <w:keepLines/>
      <w:numPr>
        <w:ilvl w:val="7"/>
        <w:numId w:val="17"/>
      </w:numPr>
      <w:spacing w:before="200" w:after="0" w:line="240" w:lineRule="auto"/>
      <w:jc w:val="both"/>
      <w:outlineLvl w:val="7"/>
    </w:pPr>
    <w:rPr>
      <w:rFonts w:asciiTheme="majorHAnsi" w:eastAsiaTheme="majorEastAsia" w:hAnsiTheme="majorHAnsi" w:cstheme="majorBidi"/>
      <w:color w:val="404040" w:themeColor="text1" w:themeTint="BF"/>
      <w:sz w:val="20"/>
      <w:szCs w:val="20"/>
      <w:lang w:val="en-US"/>
    </w:rPr>
  </w:style>
  <w:style w:type="paragraph" w:styleId="Pealkiri9">
    <w:name w:val="heading 9"/>
    <w:basedOn w:val="Normaallaad"/>
    <w:next w:val="Normaallaad"/>
    <w:link w:val="Pealkiri9Mrk"/>
    <w:uiPriority w:val="9"/>
    <w:semiHidden/>
    <w:unhideWhenUsed/>
    <w:qFormat/>
    <w:rsid w:val="00843118"/>
    <w:pPr>
      <w:keepNext/>
      <w:keepLines/>
      <w:numPr>
        <w:ilvl w:val="8"/>
        <w:numId w:val="17"/>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0951C3"/>
    <w:rPr>
      <w:color w:val="0000FF"/>
      <w:u w:val="single"/>
    </w:rPr>
  </w:style>
  <w:style w:type="paragraph" w:styleId="Loendilik">
    <w:name w:val="List Paragraph"/>
    <w:aliases w:val="Mummuga loetelu"/>
    <w:basedOn w:val="Normaallaad"/>
    <w:link w:val="LoendilikMrk"/>
    <w:uiPriority w:val="34"/>
    <w:qFormat/>
    <w:rsid w:val="007767C7"/>
    <w:pPr>
      <w:spacing w:after="0" w:line="240" w:lineRule="auto"/>
      <w:ind w:left="720"/>
      <w:contextualSpacing/>
    </w:pPr>
    <w:rPr>
      <w:rFonts w:eastAsiaTheme="minorEastAsia"/>
      <w:sz w:val="24"/>
      <w:szCs w:val="24"/>
      <w:lang w:val="en-US"/>
    </w:rPr>
  </w:style>
  <w:style w:type="character" w:customStyle="1" w:styleId="LoendilikMrk">
    <w:name w:val="Loendi lõik Märk"/>
    <w:aliases w:val="Mummuga loetelu Märk"/>
    <w:basedOn w:val="Liguvaikefont"/>
    <w:link w:val="Loendilik"/>
    <w:uiPriority w:val="34"/>
    <w:locked/>
    <w:rsid w:val="007767C7"/>
    <w:rPr>
      <w:rFonts w:eastAsiaTheme="minorEastAsia"/>
      <w:sz w:val="24"/>
      <w:szCs w:val="24"/>
      <w:lang w:val="en-US"/>
    </w:rPr>
  </w:style>
  <w:style w:type="paragraph" w:styleId="Allmrkusetekst">
    <w:name w:val="footnote text"/>
    <w:basedOn w:val="Normaallaad"/>
    <w:link w:val="AllmrkusetekstMrk"/>
    <w:uiPriority w:val="99"/>
    <w:unhideWhenUsed/>
    <w:rsid w:val="000E69B6"/>
    <w:pPr>
      <w:spacing w:after="0" w:line="240" w:lineRule="auto"/>
      <w:jc w:val="both"/>
    </w:pPr>
    <w:rPr>
      <w:rFonts w:ascii="Arial" w:eastAsiaTheme="minorEastAsia" w:hAnsi="Arial"/>
      <w:sz w:val="24"/>
      <w:szCs w:val="24"/>
      <w:lang w:val="en-US"/>
    </w:rPr>
  </w:style>
  <w:style w:type="character" w:customStyle="1" w:styleId="AllmrkusetekstMrk">
    <w:name w:val="Allmärkuse tekst Märk"/>
    <w:basedOn w:val="Liguvaikefont"/>
    <w:link w:val="Allmrkusetekst"/>
    <w:uiPriority w:val="99"/>
    <w:rsid w:val="000E69B6"/>
    <w:rPr>
      <w:rFonts w:ascii="Arial" w:eastAsiaTheme="minorEastAsia" w:hAnsi="Arial"/>
      <w:sz w:val="24"/>
      <w:szCs w:val="24"/>
      <w:lang w:val="en-US"/>
    </w:rPr>
  </w:style>
  <w:style w:type="character" w:styleId="Allmrkuseviide">
    <w:name w:val="footnote reference"/>
    <w:basedOn w:val="Liguvaikefont"/>
    <w:uiPriority w:val="99"/>
    <w:unhideWhenUsed/>
    <w:rsid w:val="000E69B6"/>
    <w:rPr>
      <w:vertAlign w:val="superscript"/>
    </w:rPr>
  </w:style>
  <w:style w:type="paragraph" w:styleId="Jalus">
    <w:name w:val="footer"/>
    <w:basedOn w:val="Normaallaad"/>
    <w:link w:val="JalusMrk"/>
    <w:uiPriority w:val="99"/>
    <w:unhideWhenUsed/>
    <w:rsid w:val="004E2F4E"/>
    <w:pPr>
      <w:tabs>
        <w:tab w:val="center" w:pos="4320"/>
        <w:tab w:val="right" w:pos="8640"/>
      </w:tabs>
      <w:spacing w:after="0" w:line="240" w:lineRule="auto"/>
      <w:jc w:val="both"/>
    </w:pPr>
    <w:rPr>
      <w:rFonts w:ascii="Arial" w:eastAsiaTheme="minorEastAsia" w:hAnsi="Arial"/>
      <w:szCs w:val="24"/>
      <w:lang w:val="en-US"/>
    </w:rPr>
  </w:style>
  <w:style w:type="character" w:customStyle="1" w:styleId="JalusMrk">
    <w:name w:val="Jalus Märk"/>
    <w:basedOn w:val="Liguvaikefont"/>
    <w:link w:val="Jalus"/>
    <w:uiPriority w:val="99"/>
    <w:rsid w:val="004E2F4E"/>
    <w:rPr>
      <w:rFonts w:ascii="Arial" w:eastAsiaTheme="minorEastAsia" w:hAnsi="Arial"/>
      <w:szCs w:val="24"/>
      <w:lang w:val="en-US"/>
    </w:rPr>
  </w:style>
  <w:style w:type="character" w:customStyle="1" w:styleId="Pealkiri1Mrk">
    <w:name w:val="Pealkiri 1 Märk"/>
    <w:basedOn w:val="Liguvaikefont"/>
    <w:link w:val="Pealkiri1"/>
    <w:uiPriority w:val="9"/>
    <w:rsid w:val="00843118"/>
    <w:rPr>
      <w:rFonts w:ascii="Arial" w:eastAsiaTheme="majorEastAsia" w:hAnsi="Arial" w:cstheme="majorBidi"/>
      <w:b/>
      <w:bCs/>
      <w:sz w:val="30"/>
      <w:szCs w:val="32"/>
      <w:lang w:val="en-US"/>
    </w:rPr>
  </w:style>
  <w:style w:type="character" w:customStyle="1" w:styleId="Pealkiri2Mrk">
    <w:name w:val="Pealkiri 2 Märk"/>
    <w:basedOn w:val="Liguvaikefont"/>
    <w:link w:val="Pealkiri2"/>
    <w:uiPriority w:val="9"/>
    <w:rsid w:val="00843118"/>
    <w:rPr>
      <w:rFonts w:ascii="Arial" w:eastAsiaTheme="majorEastAsia" w:hAnsi="Arial" w:cstheme="majorBidi"/>
      <w:b/>
      <w:bCs/>
      <w:i/>
      <w:sz w:val="28"/>
      <w:szCs w:val="26"/>
      <w:lang w:val="en-US"/>
    </w:rPr>
  </w:style>
  <w:style w:type="character" w:customStyle="1" w:styleId="Pealkiri3Mrk">
    <w:name w:val="Pealkiri 3 Märk"/>
    <w:basedOn w:val="Liguvaikefont"/>
    <w:link w:val="Pealkiri3"/>
    <w:uiPriority w:val="9"/>
    <w:rsid w:val="00843118"/>
    <w:rPr>
      <w:rFonts w:ascii="Arial" w:eastAsiaTheme="majorEastAsia" w:hAnsi="Arial" w:cstheme="majorBidi"/>
      <w:b/>
      <w:bCs/>
      <w:sz w:val="26"/>
      <w:szCs w:val="24"/>
      <w:lang w:val="en-US"/>
    </w:rPr>
  </w:style>
  <w:style w:type="character" w:customStyle="1" w:styleId="Pealkiri4Mrk">
    <w:name w:val="Pealkiri 4 Märk"/>
    <w:basedOn w:val="Liguvaikefont"/>
    <w:link w:val="Pealkiri4"/>
    <w:uiPriority w:val="9"/>
    <w:semiHidden/>
    <w:rsid w:val="00843118"/>
    <w:rPr>
      <w:rFonts w:asciiTheme="majorHAnsi" w:eastAsiaTheme="majorEastAsia" w:hAnsiTheme="majorHAnsi" w:cstheme="majorBidi"/>
      <w:b/>
      <w:bCs/>
      <w:i/>
      <w:iCs/>
      <w:color w:val="5B9BD5" w:themeColor="accent1"/>
      <w:szCs w:val="24"/>
      <w:lang w:val="en-US"/>
    </w:rPr>
  </w:style>
  <w:style w:type="character" w:customStyle="1" w:styleId="Pealkiri5Mrk">
    <w:name w:val="Pealkiri 5 Märk"/>
    <w:basedOn w:val="Liguvaikefont"/>
    <w:link w:val="Pealkiri5"/>
    <w:uiPriority w:val="9"/>
    <w:semiHidden/>
    <w:rsid w:val="00843118"/>
    <w:rPr>
      <w:rFonts w:asciiTheme="majorHAnsi" w:eastAsiaTheme="majorEastAsia" w:hAnsiTheme="majorHAnsi" w:cstheme="majorBidi"/>
      <w:color w:val="1F4D78" w:themeColor="accent1" w:themeShade="7F"/>
      <w:szCs w:val="24"/>
      <w:lang w:val="en-US"/>
    </w:rPr>
  </w:style>
  <w:style w:type="character" w:customStyle="1" w:styleId="Pealkiri6Mrk">
    <w:name w:val="Pealkiri 6 Märk"/>
    <w:basedOn w:val="Liguvaikefont"/>
    <w:link w:val="Pealkiri6"/>
    <w:uiPriority w:val="9"/>
    <w:semiHidden/>
    <w:rsid w:val="00843118"/>
    <w:rPr>
      <w:rFonts w:asciiTheme="majorHAnsi" w:eastAsiaTheme="majorEastAsia" w:hAnsiTheme="majorHAnsi" w:cstheme="majorBidi"/>
      <w:i/>
      <w:iCs/>
      <w:color w:val="1F4D78" w:themeColor="accent1" w:themeShade="7F"/>
      <w:szCs w:val="24"/>
      <w:lang w:val="en-US"/>
    </w:rPr>
  </w:style>
  <w:style w:type="character" w:customStyle="1" w:styleId="Pealkiri7Mrk">
    <w:name w:val="Pealkiri 7 Märk"/>
    <w:basedOn w:val="Liguvaikefont"/>
    <w:link w:val="Pealkiri7"/>
    <w:uiPriority w:val="9"/>
    <w:semiHidden/>
    <w:rsid w:val="00843118"/>
    <w:rPr>
      <w:rFonts w:asciiTheme="majorHAnsi" w:eastAsiaTheme="majorEastAsia" w:hAnsiTheme="majorHAnsi" w:cstheme="majorBidi"/>
      <w:i/>
      <w:iCs/>
      <w:color w:val="404040" w:themeColor="text1" w:themeTint="BF"/>
      <w:szCs w:val="24"/>
      <w:lang w:val="en-US"/>
    </w:rPr>
  </w:style>
  <w:style w:type="character" w:customStyle="1" w:styleId="Pealkiri8Mrk">
    <w:name w:val="Pealkiri 8 Märk"/>
    <w:basedOn w:val="Liguvaikefont"/>
    <w:link w:val="Pealkiri8"/>
    <w:uiPriority w:val="9"/>
    <w:semiHidden/>
    <w:rsid w:val="00843118"/>
    <w:rPr>
      <w:rFonts w:asciiTheme="majorHAnsi" w:eastAsiaTheme="majorEastAsia" w:hAnsiTheme="majorHAnsi" w:cstheme="majorBidi"/>
      <w:color w:val="404040" w:themeColor="text1" w:themeTint="BF"/>
      <w:sz w:val="20"/>
      <w:szCs w:val="20"/>
      <w:lang w:val="en-US"/>
    </w:rPr>
  </w:style>
  <w:style w:type="character" w:customStyle="1" w:styleId="Pealkiri9Mrk">
    <w:name w:val="Pealkiri 9 Märk"/>
    <w:basedOn w:val="Liguvaikefont"/>
    <w:link w:val="Pealkiri9"/>
    <w:uiPriority w:val="9"/>
    <w:semiHidden/>
    <w:rsid w:val="00843118"/>
    <w:rPr>
      <w:rFonts w:asciiTheme="majorHAnsi" w:eastAsiaTheme="majorEastAsia" w:hAnsiTheme="majorHAnsi" w:cstheme="majorBidi"/>
      <w:i/>
      <w:iCs/>
      <w:color w:val="404040" w:themeColor="text1" w:themeTint="B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183924">
      <w:bodyDiv w:val="1"/>
      <w:marLeft w:val="0"/>
      <w:marRight w:val="0"/>
      <w:marTop w:val="0"/>
      <w:marBottom w:val="0"/>
      <w:divBdr>
        <w:top w:val="none" w:sz="0" w:space="0" w:color="auto"/>
        <w:left w:val="none" w:sz="0" w:space="0" w:color="auto"/>
        <w:bottom w:val="none" w:sz="0" w:space="0" w:color="auto"/>
        <w:right w:val="none" w:sz="0" w:space="0" w:color="auto"/>
      </w:divBdr>
    </w:div>
    <w:div w:id="774405760">
      <w:bodyDiv w:val="1"/>
      <w:marLeft w:val="0"/>
      <w:marRight w:val="0"/>
      <w:marTop w:val="0"/>
      <w:marBottom w:val="0"/>
      <w:divBdr>
        <w:top w:val="none" w:sz="0" w:space="0" w:color="auto"/>
        <w:left w:val="none" w:sz="0" w:space="0" w:color="auto"/>
        <w:bottom w:val="none" w:sz="0" w:space="0" w:color="auto"/>
        <w:right w:val="none" w:sz="0" w:space="0" w:color="auto"/>
      </w:divBdr>
    </w:div>
    <w:div w:id="1648050012">
      <w:bodyDiv w:val="1"/>
      <w:marLeft w:val="0"/>
      <w:marRight w:val="0"/>
      <w:marTop w:val="0"/>
      <w:marBottom w:val="0"/>
      <w:divBdr>
        <w:top w:val="none" w:sz="0" w:space="0" w:color="auto"/>
        <w:left w:val="none" w:sz="0" w:space="0" w:color="auto"/>
        <w:bottom w:val="none" w:sz="0" w:space="0" w:color="auto"/>
        <w:right w:val="none" w:sz="0" w:space="0" w:color="auto"/>
      </w:divBdr>
    </w:div>
    <w:div w:id="1862159570">
      <w:bodyDiv w:val="1"/>
      <w:marLeft w:val="0"/>
      <w:marRight w:val="0"/>
      <w:marTop w:val="0"/>
      <w:marBottom w:val="0"/>
      <w:divBdr>
        <w:top w:val="none" w:sz="0" w:space="0" w:color="auto"/>
        <w:left w:val="none" w:sz="0" w:space="0" w:color="auto"/>
        <w:bottom w:val="none" w:sz="0" w:space="0" w:color="auto"/>
        <w:right w:val="none" w:sz="0" w:space="0" w:color="auto"/>
      </w:divBdr>
    </w:div>
    <w:div w:id="2022462052">
      <w:bodyDiv w:val="1"/>
      <w:marLeft w:val="0"/>
      <w:marRight w:val="0"/>
      <w:marTop w:val="0"/>
      <w:marBottom w:val="0"/>
      <w:divBdr>
        <w:top w:val="none" w:sz="0" w:space="0" w:color="auto"/>
        <w:left w:val="none" w:sz="0" w:space="0" w:color="auto"/>
        <w:bottom w:val="none" w:sz="0" w:space="0" w:color="auto"/>
        <w:right w:val="none" w:sz="0" w:space="0" w:color="auto"/>
      </w:divBdr>
    </w:div>
    <w:div w:id="20642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kogu.ee" TargetMode="External"/><Relationship Id="rId13" Type="http://schemas.openxmlformats.org/officeDocument/2006/relationships/hyperlink" Target="http://eur-lex.europa.eu/LexUriServ/LexUriServ.do?uri=OJ:L:2013:347:0487:0548:E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4kogu.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13:347:0487:0548:E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xUriServ/LexUriServ.do?uri=OJ:L:2013:347:0487:0548:ET:PDF" TargetMode="External"/><Relationship Id="rId4" Type="http://schemas.openxmlformats.org/officeDocument/2006/relationships/settings" Target="settings.xml"/><Relationship Id="rId9" Type="http://schemas.openxmlformats.org/officeDocument/2006/relationships/hyperlink" Target="http://eur-lex.europa.eu/LexUriServ/LexUriServ.do?uri=OJ:L:2013:347:0487:0548:ET:PDF"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64057-1E09-4728-8E2C-532CB2AD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5361</Words>
  <Characters>31099</Characters>
  <Application>Microsoft Office Word</Application>
  <DocSecurity>0</DocSecurity>
  <Lines>259</Lines>
  <Paragraphs>72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Annika Jõks</cp:lastModifiedBy>
  <cp:revision>2</cp:revision>
  <dcterms:created xsi:type="dcterms:W3CDTF">2020-08-21T08:09:00Z</dcterms:created>
  <dcterms:modified xsi:type="dcterms:W3CDTF">2020-08-21T08:09:00Z</dcterms:modified>
</cp:coreProperties>
</file>