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-1410"/>
        <w:tblW w:w="5000" w:type="pct"/>
        <w:tblCellMar>
          <w:left w:w="70" w:type="dxa"/>
          <w:right w:w="70" w:type="dxa"/>
        </w:tblCellMar>
        <w:tblLook w:val="05A0" w:firstRow="1" w:lastRow="0" w:firstColumn="1" w:lastColumn="1" w:noHBand="0" w:noVBand="1"/>
      </w:tblPr>
      <w:tblGrid>
        <w:gridCol w:w="246"/>
        <w:gridCol w:w="248"/>
        <w:gridCol w:w="246"/>
        <w:gridCol w:w="246"/>
        <w:gridCol w:w="248"/>
        <w:gridCol w:w="183"/>
        <w:gridCol w:w="3029"/>
        <w:gridCol w:w="4829"/>
        <w:gridCol w:w="246"/>
        <w:gridCol w:w="246"/>
        <w:gridCol w:w="249"/>
        <w:gridCol w:w="247"/>
        <w:gridCol w:w="247"/>
        <w:gridCol w:w="249"/>
        <w:gridCol w:w="181"/>
      </w:tblGrid>
      <w:tr w:rsidR="0052345B" w:rsidRPr="00C97A08" w14:paraId="7F3D8C2A" w14:textId="77777777" w:rsidTr="00137D1B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7ED1A5" w14:textId="603929B2" w:rsidR="0052345B" w:rsidRPr="00C97A08" w:rsidRDefault="003338F0" w:rsidP="003338F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97A0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t-EE"/>
              </w:rPr>
              <w:t xml:space="preserve">VIHMAVARJUPROJEKT </w:t>
            </w:r>
            <w:r w:rsidR="00AA2887" w:rsidRPr="00C97A0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t-EE"/>
              </w:rPr>
              <w:t xml:space="preserve">2020 </w:t>
            </w:r>
            <w:r w:rsidR="002B5B6E" w:rsidRPr="00C97A0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t-EE"/>
              </w:rPr>
              <w:t>MEETMELEHT</w:t>
            </w:r>
            <w:r w:rsidR="0052345B" w:rsidRPr="00C97A0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t-EE"/>
              </w:rPr>
              <w:t>¹</w:t>
            </w:r>
          </w:p>
        </w:tc>
      </w:tr>
      <w:tr w:rsidR="0052345B" w:rsidRPr="00C97A08" w14:paraId="1C393170" w14:textId="77777777" w:rsidTr="00137D1B">
        <w:trPr>
          <w:trHeight w:val="28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3736AB" w14:textId="77777777" w:rsidR="0052345B" w:rsidRPr="00C97A08" w:rsidRDefault="0052345B" w:rsidP="00137D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</w:pPr>
            <w:r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> </w:t>
            </w:r>
          </w:p>
        </w:tc>
      </w:tr>
      <w:tr w:rsidR="0052345B" w:rsidRPr="00C97A08" w14:paraId="496A7DB8" w14:textId="77777777" w:rsidTr="00137D1B">
        <w:trPr>
          <w:trHeight w:val="28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hideMark/>
          </w:tcPr>
          <w:p w14:paraId="592A5E24" w14:textId="512C22BC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</w:pPr>
            <w:r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 xml:space="preserve">1. </w:t>
            </w:r>
            <w:r w:rsidR="007E3F45"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>Nelja Valla Kogu s</w:t>
            </w:r>
            <w:r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>trateegia meetme nimetus</w:t>
            </w:r>
          </w:p>
        </w:tc>
      </w:tr>
      <w:tr w:rsidR="0052345B" w:rsidRPr="00C97A08" w14:paraId="7E3F3231" w14:textId="77777777" w:rsidTr="00174D21">
        <w:trPr>
          <w:trHeight w:val="38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65D23D" w14:textId="5C5AD52F" w:rsidR="0052345B" w:rsidRPr="00C97A08" w:rsidRDefault="0052345B" w:rsidP="00174D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t-EE"/>
              </w:rPr>
            </w:pPr>
            <w:bookmarkStart w:id="0" w:name="_Toc290810571"/>
            <w:r w:rsidRPr="00C97A0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t-EE"/>
              </w:rPr>
              <w:t>Meede 2 – Kogukondade ühistegevuse arendamine</w:t>
            </w:r>
            <w:bookmarkEnd w:id="0"/>
            <w:r w:rsidR="007E3F45" w:rsidRPr="00C97A0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t-EE"/>
              </w:rPr>
              <w:t xml:space="preserve"> „VIHMAVARJUPROJEKT“</w:t>
            </w:r>
          </w:p>
        </w:tc>
      </w:tr>
      <w:tr w:rsidR="0052345B" w:rsidRPr="00C97A08" w14:paraId="0BA1B6C5" w14:textId="77777777" w:rsidTr="00137D1B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hideMark/>
          </w:tcPr>
          <w:p w14:paraId="59757F4E" w14:textId="2DF676E6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</w:pPr>
            <w:r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 xml:space="preserve">2. </w:t>
            </w:r>
            <w:r w:rsidR="009A6517"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>Vihmavarjup</w:t>
            </w:r>
            <w:r w:rsidR="003338F0"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 xml:space="preserve">rojekti </w:t>
            </w:r>
            <w:r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>lühikirjeldus</w:t>
            </w:r>
          </w:p>
        </w:tc>
      </w:tr>
      <w:tr w:rsidR="0052345B" w:rsidRPr="00C97A08" w14:paraId="0D67B037" w14:textId="77777777" w:rsidTr="00174D21">
        <w:trPr>
          <w:trHeight w:val="80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C99229" w14:textId="3284067D" w:rsidR="003038C2" w:rsidRPr="00C97A08" w:rsidRDefault="0052345B" w:rsidP="003038C2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NVK tegevuspiirkonnas on peamiseks </w:t>
            </w:r>
            <w:r w:rsidR="009416B3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maa</w:t>
            </w: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kogukondade identiteedi kujundajaks ja kandjaks külad ja alevikud. Hoolimata juba tekkinud kooslustest on kohati side kogukonna liikmete vahel nõrk, mis tuleneb igapäevasest pendeldamisest pealinna</w:t>
            </w:r>
            <w:r w:rsidR="00FF09FA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s paikneva töökoha</w:t>
            </w: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ja elukoha vahel. </w:t>
            </w:r>
          </w:p>
          <w:p w14:paraId="67D77E51" w14:textId="14D64F1C" w:rsidR="007E3F45" w:rsidRPr="00C97A08" w:rsidRDefault="007E3F45" w:rsidP="003038C2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Vihmavarjuprojekti toel saab </w:t>
            </w:r>
            <w:r w:rsidR="00510F2D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lihtsustatud korras</w:t>
            </w: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taotleda</w:t>
            </w:r>
            <w:r w:rsidR="00510F2D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toetust uute mõtete ja ideede elluviimiseks</w:t>
            </w:r>
            <w:r w:rsidR="006834F5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. Oodatud on väikeprojektide taotlused, mis rikastaks meie elukeskkonda, o</w:t>
            </w:r>
            <w:r w:rsidR="008222AE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leks</w:t>
            </w:r>
            <w:r w:rsidR="006834F5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oma sihtgrupi jaoks mingil moel eriline, paku</w:t>
            </w:r>
            <w:r w:rsidR="008222AE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ks</w:t>
            </w:r>
            <w:r w:rsidR="006834F5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midagi uudset või „kiiksuga“, arvesta</w:t>
            </w:r>
            <w:r w:rsidR="008222AE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ks</w:t>
            </w:r>
            <w:r w:rsidR="006834F5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ümbritsevat keskkonda.</w:t>
            </w:r>
          </w:p>
          <w:p w14:paraId="7CA59114" w14:textId="42C39E17" w:rsidR="00E02E1C" w:rsidRPr="00C97A08" w:rsidRDefault="005141F3" w:rsidP="003038C2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Vihmavarjup</w:t>
            </w:r>
            <w:r w:rsidR="00B41E9E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r</w:t>
            </w: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ojekti elluviija on taotleja</w:t>
            </w:r>
            <w:r w:rsidR="00963CC7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. </w:t>
            </w: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</w:t>
            </w:r>
            <w:r w:rsidR="00DF7DA3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P</w:t>
            </w:r>
            <w:r w:rsidR="00963CC7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eale avatud läbirääkimisi tegevuskava ja eelarve osas</w:t>
            </w:r>
            <w:r w:rsidR="00DF7DA3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k</w:t>
            </w:r>
            <w:r w:rsidR="00966D6E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innitatakse</w:t>
            </w:r>
            <w:r w:rsidR="00F438EE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taotlus</w:t>
            </w:r>
            <w:r w:rsidR="003E7C9C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NVK</w:t>
            </w:r>
            <w:r w:rsidR="00EF42D5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juhatuse poolt.</w:t>
            </w:r>
          </w:p>
          <w:p w14:paraId="55ED5877" w14:textId="013AFE18" w:rsidR="001122FF" w:rsidRPr="00C97A08" w:rsidRDefault="00C31DDB" w:rsidP="006C1126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Tegevuste rahastamiseks </w:t>
            </w:r>
            <w:r w:rsidR="00EF42D5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esita</w:t>
            </w:r>
            <w:r w:rsidR="002348B6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takse </w:t>
            </w:r>
            <w:r w:rsidR="000A086B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Nelja Valla </w:t>
            </w:r>
            <w:r w:rsidR="006C1126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Kogule arve</w:t>
            </w:r>
            <w:r w:rsidR="0072652B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</w:t>
            </w:r>
            <w:r w:rsidR="006C1126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90% ulatuses. </w:t>
            </w:r>
          </w:p>
        </w:tc>
      </w:tr>
      <w:tr w:rsidR="0052345B" w:rsidRPr="00C97A08" w14:paraId="708B7AAA" w14:textId="77777777" w:rsidTr="00137D1B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hideMark/>
          </w:tcPr>
          <w:p w14:paraId="5DDFDF6F" w14:textId="166F1785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</w:pPr>
            <w:r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 xml:space="preserve">3. </w:t>
            </w:r>
            <w:r w:rsidR="003338F0"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 xml:space="preserve">Projekti </w:t>
            </w:r>
            <w:r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 xml:space="preserve">eesmärk  </w:t>
            </w:r>
          </w:p>
        </w:tc>
      </w:tr>
      <w:tr w:rsidR="0052345B" w:rsidRPr="00C97A08" w14:paraId="0A129590" w14:textId="77777777" w:rsidTr="00137D1B">
        <w:trPr>
          <w:trHeight w:val="72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1411CD" w14:textId="1460581C" w:rsidR="0052345B" w:rsidRPr="00C97A08" w:rsidRDefault="001122FF" w:rsidP="00137D1B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 xml:space="preserve">Vihmavarjuprojekti </w:t>
            </w:r>
            <w:r w:rsidR="0052345B" w:rsidRPr="00C97A0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eesmärgiks on</w:t>
            </w:r>
            <w:r w:rsidR="0052345B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toimekate ja ühtehoidvate kogukondade loomine</w:t>
            </w:r>
            <w:r w:rsidR="00A95323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ja tugev</w:t>
            </w:r>
            <w:r w:rsidR="00237905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damine</w:t>
            </w:r>
            <w:r w:rsidR="00E9457B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läbi uuenduslike tegevuste.</w:t>
            </w:r>
          </w:p>
          <w:p w14:paraId="50A8A597" w14:textId="30A10977" w:rsidR="001122FF" w:rsidRPr="00C97A08" w:rsidRDefault="001122FF" w:rsidP="001122FF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Vihmavarjuprojektide alamprojektid aitavd täita NVK strateegia eesmärke:</w:t>
            </w:r>
          </w:p>
          <w:p w14:paraId="70E56E17" w14:textId="7093AFBE" w:rsidR="001122FF" w:rsidRPr="00C97A08" w:rsidRDefault="001122FF" w:rsidP="001122FF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1.</w:t>
            </w:r>
            <w:r w:rsidR="0006799B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</w:t>
            </w: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Inimsõbralik ja turvaline elukeskkond ning mitmekesised vaba aja sisustamise võimalused, selleks vajalik taristu on läbimõeldult välja arendatud.</w:t>
            </w:r>
          </w:p>
          <w:p w14:paraId="2CBD5933" w14:textId="77777777" w:rsidR="001122FF" w:rsidRPr="00C97A08" w:rsidRDefault="001122FF" w:rsidP="001122FF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2. Kogukonnad on tugevad, toimekad ja ühtehoidvad.</w:t>
            </w:r>
          </w:p>
          <w:p w14:paraId="7713C248" w14:textId="77777777" w:rsidR="001122FF" w:rsidRPr="00C97A08" w:rsidRDefault="001122FF" w:rsidP="001122FF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3. Kasvanud on nii kohalike töökohtade kui ka teenuste hulk.</w:t>
            </w:r>
          </w:p>
          <w:p w14:paraId="31EDC7B1" w14:textId="4C112C4E" w:rsidR="001122FF" w:rsidRPr="00C97A08" w:rsidRDefault="001122FF" w:rsidP="001122FF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4. Suurenenud on turistidele suunatud teenuste ja toodete arv ning toimib tõhus turismialane koostöö.</w:t>
            </w:r>
          </w:p>
        </w:tc>
      </w:tr>
      <w:tr w:rsidR="0052345B" w:rsidRPr="00C97A08" w14:paraId="5B7B5FA1" w14:textId="77777777" w:rsidTr="00137D1B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hideMark/>
          </w:tcPr>
          <w:p w14:paraId="06007B00" w14:textId="5C1301B5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</w:pPr>
            <w:r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 xml:space="preserve">4. </w:t>
            </w:r>
            <w:r w:rsidR="003338F0"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>Vihmavarjuprojekti</w:t>
            </w:r>
            <w:r w:rsidR="00237905"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 xml:space="preserve"> raames</w:t>
            </w:r>
            <w:r w:rsidR="003338F0"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 xml:space="preserve"> t</w:t>
            </w:r>
            <w:r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 xml:space="preserve">oetatavad tegevused² </w:t>
            </w:r>
          </w:p>
        </w:tc>
      </w:tr>
      <w:tr w:rsidR="0052345B" w:rsidRPr="00C97A08" w14:paraId="757F9D25" w14:textId="77777777" w:rsidTr="00174D21">
        <w:trPr>
          <w:trHeight w:val="98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0ED246" w14:textId="77777777" w:rsidR="00C3691C" w:rsidRPr="00C97A08" w:rsidRDefault="00C3691C" w:rsidP="00137D1B">
            <w:pPr>
              <w:pStyle w:val="Loendilik"/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</w:pPr>
            <w:r w:rsidRPr="00C97A08"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t-EE"/>
              </w:rPr>
              <w:t>Toetatavad tegevused:</w:t>
            </w:r>
          </w:p>
          <w:p w14:paraId="48F00A01" w14:textId="1E7092D2" w:rsidR="003338F0" w:rsidRPr="00C97A08" w:rsidRDefault="003338F0" w:rsidP="003338F0">
            <w:pPr>
              <w:pStyle w:val="Loendilik"/>
              <w:numPr>
                <w:ilvl w:val="0"/>
                <w:numId w:val="5"/>
              </w:numPr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</w:pPr>
            <w:r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 xml:space="preserve">Uute seltsi- ja huvitegevusürituste </w:t>
            </w:r>
            <w:r w:rsidR="00237905"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>ning</w:t>
            </w:r>
            <w:r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 xml:space="preserve"> traditsioonide algatamine ja elluviimine</w:t>
            </w:r>
          </w:p>
          <w:p w14:paraId="32012DDA" w14:textId="0D71D295" w:rsidR="00237905" w:rsidRPr="00C97A08" w:rsidRDefault="00C3691C" w:rsidP="00237905">
            <w:pPr>
              <w:pStyle w:val="Loendilik"/>
              <w:numPr>
                <w:ilvl w:val="0"/>
                <w:numId w:val="5"/>
              </w:numPr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>Koolituste</w:t>
            </w:r>
            <w:r w:rsidR="00237905"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>,</w:t>
            </w:r>
            <w:r w:rsidR="003338F0"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 xml:space="preserve"> õpitubade</w:t>
            </w: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 xml:space="preserve"> </w:t>
            </w:r>
            <w:r w:rsidR="00237905"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>ja õppereiside korraldamine</w:t>
            </w:r>
          </w:p>
          <w:p w14:paraId="5FDAA389" w14:textId="7D036735" w:rsidR="00E9457B" w:rsidRPr="00C97A08" w:rsidRDefault="00E9457B" w:rsidP="0052345B">
            <w:pPr>
              <w:pStyle w:val="Loendilik"/>
              <w:numPr>
                <w:ilvl w:val="0"/>
                <w:numId w:val="5"/>
              </w:numPr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>Laste- ja noortelaagrite korraldamine</w:t>
            </w:r>
          </w:p>
          <w:p w14:paraId="069B4B4D" w14:textId="68F20D54" w:rsidR="005D3061" w:rsidRPr="00C97A08" w:rsidRDefault="005D3061" w:rsidP="005D3061">
            <w:pPr>
              <w:pStyle w:val="Loendilik"/>
              <w:numPr>
                <w:ilvl w:val="0"/>
                <w:numId w:val="5"/>
              </w:numPr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>Tegevuste läbiviimiseks vajalike materjalide</w:t>
            </w:r>
            <w:r w:rsidR="003038C2"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 xml:space="preserve"> ja</w:t>
            </w: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 xml:space="preserve"> väikevahendite soetamine </w:t>
            </w:r>
          </w:p>
          <w:p w14:paraId="3A161A93" w14:textId="77777777" w:rsidR="0052345B" w:rsidRPr="00C97A08" w:rsidRDefault="0052345B" w:rsidP="00137D1B">
            <w:pPr>
              <w:pStyle w:val="Loendilik"/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t-EE"/>
              </w:rPr>
            </w:pPr>
          </w:p>
          <w:p w14:paraId="4E60E009" w14:textId="28F93B64" w:rsidR="00174D21" w:rsidRPr="00C97A08" w:rsidRDefault="00174D21" w:rsidP="00174D21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52345B" w:rsidRPr="00C97A08" w14:paraId="4D5A2735" w14:textId="77777777" w:rsidTr="00174D21">
        <w:trPr>
          <w:trHeight w:val="55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hideMark/>
          </w:tcPr>
          <w:p w14:paraId="3BBC9984" w14:textId="54342D01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t-EE"/>
              </w:rPr>
            </w:pPr>
            <w:r w:rsidRPr="00C97A08">
              <w:rPr>
                <w:rFonts w:asciiTheme="majorHAnsi" w:eastAsia="Times New Roman" w:hAnsiTheme="majorHAnsi" w:cstheme="majorHAnsi"/>
                <w:sz w:val="18"/>
                <w:szCs w:val="18"/>
                <w:lang w:eastAsia="et-EE"/>
              </w:rPr>
              <w:t>5. Kohaliku tegevusgrupi nõuded toetuse taotlejale (sh. dokumendid , mida taotl</w:t>
            </w:r>
            <w:r w:rsidR="005D3061" w:rsidRPr="00C97A08">
              <w:rPr>
                <w:rFonts w:asciiTheme="majorHAnsi" w:eastAsia="Times New Roman" w:hAnsiTheme="majorHAnsi" w:cstheme="majorHAnsi"/>
                <w:sz w:val="18"/>
                <w:szCs w:val="18"/>
                <w:lang w:eastAsia="et-EE"/>
              </w:rPr>
              <w:t>eja</w:t>
            </w:r>
            <w:r w:rsidRPr="00C97A08">
              <w:rPr>
                <w:rFonts w:asciiTheme="majorHAnsi" w:eastAsia="Times New Roman" w:hAnsiTheme="majorHAnsi" w:cstheme="majorHAnsi"/>
                <w:sz w:val="18"/>
                <w:szCs w:val="18"/>
                <w:lang w:eastAsia="et-EE"/>
              </w:rPr>
              <w:t xml:space="preserve"> esitam</w:t>
            </w:r>
            <w:r w:rsidR="005D3061" w:rsidRPr="00C97A08">
              <w:rPr>
                <w:rFonts w:asciiTheme="majorHAnsi" w:eastAsia="Times New Roman" w:hAnsiTheme="majorHAnsi" w:cstheme="majorHAnsi"/>
                <w:sz w:val="18"/>
                <w:szCs w:val="18"/>
                <w:lang w:eastAsia="et-EE"/>
              </w:rPr>
              <w:t>a</w:t>
            </w:r>
            <w:r w:rsidRPr="00C97A08">
              <w:rPr>
                <w:rFonts w:asciiTheme="majorHAnsi" w:eastAsia="Times New Roman" w:hAnsiTheme="majorHAnsi" w:cstheme="majorHAnsi"/>
                <w:sz w:val="18"/>
                <w:szCs w:val="18"/>
                <w:lang w:eastAsia="et-EE"/>
              </w:rPr>
              <w:t>)</w:t>
            </w:r>
          </w:p>
        </w:tc>
      </w:tr>
      <w:tr w:rsidR="0052345B" w:rsidRPr="00C97A08" w14:paraId="29D195DF" w14:textId="77777777" w:rsidTr="00934825">
        <w:trPr>
          <w:trHeight w:val="126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9EF652" w14:textId="77777777" w:rsidR="0052345B" w:rsidRPr="00C97A08" w:rsidRDefault="0052345B" w:rsidP="00137D1B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 xml:space="preserve">Toetuse saajad </w:t>
            </w: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</w:t>
            </w:r>
          </w:p>
          <w:p w14:paraId="425BFD67" w14:textId="2347F6BB" w:rsidR="0052345B" w:rsidRPr="00C97A08" w:rsidRDefault="0052345B" w:rsidP="005D3061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Kolmanda sektori organisatsioonid (MTÜd ja SAd)</w:t>
            </w:r>
            <w:r w:rsidR="00DD79B7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</w:t>
            </w:r>
          </w:p>
          <w:p w14:paraId="1AD138E8" w14:textId="13870581" w:rsidR="00866BFD" w:rsidRPr="00C97A08" w:rsidRDefault="00866BFD" w:rsidP="005D3061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Seltsid ja setsingud, sõpruskonnad</w:t>
            </w:r>
          </w:p>
          <w:p w14:paraId="5E153148" w14:textId="77777777" w:rsidR="0052345B" w:rsidRPr="00C97A08" w:rsidRDefault="0052345B" w:rsidP="00137D1B">
            <w:pP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Nõuded toetuse saajale</w:t>
            </w:r>
          </w:p>
          <w:p w14:paraId="784DC79D" w14:textId="77777777" w:rsidR="007E3F45" w:rsidRPr="00C97A08" w:rsidRDefault="005D3061" w:rsidP="0052345B">
            <w:pPr>
              <w:pStyle w:val="Loendilik"/>
              <w:numPr>
                <w:ilvl w:val="0"/>
                <w:numId w:val="3"/>
              </w:numPr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>Tegevused vi</w:t>
            </w:r>
            <w:r w:rsidR="00093164"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>i</w:t>
            </w: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 xml:space="preserve">akse ellu </w:t>
            </w:r>
            <w:r w:rsidR="0052345B"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>NVK tegevuspiirkonnas</w:t>
            </w:r>
            <w:r w:rsidR="007E3F45"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>-</w:t>
            </w:r>
          </w:p>
          <w:p w14:paraId="6E108154" w14:textId="4F894E92" w:rsidR="0052345B" w:rsidRPr="00C97A08" w:rsidRDefault="00093164" w:rsidP="008222AE">
            <w:pPr>
              <w:pStyle w:val="Loendilik"/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</w:pPr>
            <w:r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 xml:space="preserve">Saku, Saue, Kiili ja Harku vallas. </w:t>
            </w:r>
          </w:p>
          <w:p w14:paraId="0A3E5C1E" w14:textId="4EA738DC" w:rsidR="0052345B" w:rsidRPr="00C97A08" w:rsidRDefault="0052345B" w:rsidP="0052345B">
            <w:pPr>
              <w:pStyle w:val="Loendilik"/>
              <w:numPr>
                <w:ilvl w:val="0"/>
                <w:numId w:val="3"/>
              </w:numPr>
              <w:contextualSpacing w:val="0"/>
              <w:rPr>
                <w:rFonts w:asciiTheme="majorHAnsi" w:hAnsiTheme="majorHAnsi" w:cstheme="majorHAnsi"/>
                <w:sz w:val="18"/>
                <w:szCs w:val="18"/>
                <w:lang w:val="et-EE"/>
              </w:rPr>
            </w:pPr>
            <w:r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 xml:space="preserve">Taotleja peab esitama </w:t>
            </w:r>
            <w:r w:rsidR="005D3061"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 xml:space="preserve">taotlemise hetkel kehtiva </w:t>
            </w:r>
            <w:r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>liikmete nimekirja</w:t>
            </w:r>
            <w:r w:rsidR="005D3061"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 xml:space="preserve"> </w:t>
            </w:r>
            <w:r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 xml:space="preserve"> </w:t>
            </w:r>
            <w:r w:rsidR="005D3061"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>(</w:t>
            </w:r>
            <w:r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>v.a usulised ühendused</w:t>
            </w:r>
            <w:r w:rsidR="005D3061"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>)</w:t>
            </w:r>
            <w:r w:rsidR="00A878B2"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 xml:space="preserve"> </w:t>
            </w:r>
          </w:p>
          <w:p w14:paraId="76B3BD99" w14:textId="77777777" w:rsidR="008222AE" w:rsidRPr="00C97A08" w:rsidRDefault="008222AE" w:rsidP="008222A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0A795BCF" w14:textId="687D97FB" w:rsidR="008222AE" w:rsidRPr="00C97A08" w:rsidRDefault="008222AE" w:rsidP="008222A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Toetuse saaja ülesanded, kohustused</w:t>
            </w:r>
          </w:p>
          <w:p w14:paraId="01B88849" w14:textId="53D66434" w:rsidR="002B5B6E" w:rsidRPr="00C97A08" w:rsidRDefault="008222AE" w:rsidP="008222AE">
            <w:pPr>
              <w:pStyle w:val="Loendilik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  <w:lang w:val="et-EE"/>
              </w:rPr>
            </w:pPr>
            <w:r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>Tegevuse planeerimine ja elluviimine</w:t>
            </w:r>
          </w:p>
          <w:p w14:paraId="4D8EAA45" w14:textId="4BB88740" w:rsidR="001122FF" w:rsidRPr="00C97A08" w:rsidRDefault="001122FF" w:rsidP="001122FF">
            <w:pPr>
              <w:pStyle w:val="Loendilik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  <w:lang w:val="et-EE"/>
              </w:rPr>
            </w:pPr>
            <w:r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>Teavitama projektitoetuse abil toetatava tegevuse elluviimisest vastavalt maaeluministri 22. detsembri 2015. a määruses nr 26 „Maaelu arengu toetuse andmisest ja kasutamisest teavitamise, toetatud objektide tähistamise ning Euroopa Maaelu Arengu Põllumajandusfondi (EAFRD) osalusele viitamise täpsem kord perioodil 2014–2020“ kehtestatud nõuetele.</w:t>
            </w:r>
          </w:p>
          <w:p w14:paraId="62CF13D0" w14:textId="7526FDC4" w:rsidR="001122FF" w:rsidRPr="00C97A08" w:rsidRDefault="001122FF" w:rsidP="001122FF">
            <w:pPr>
              <w:pStyle w:val="Loendilik"/>
              <w:rPr>
                <w:rFonts w:asciiTheme="majorHAnsi" w:hAnsiTheme="majorHAnsi" w:cstheme="majorHAnsi"/>
                <w:sz w:val="18"/>
                <w:szCs w:val="18"/>
                <w:lang w:val="et-EE"/>
              </w:rPr>
            </w:pPr>
            <w:r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>[RT I, 31.10.2017, 2 - jõust. 03.11.2017]</w:t>
            </w:r>
          </w:p>
          <w:p w14:paraId="30B2B0A3" w14:textId="0129877B" w:rsidR="008222AE" w:rsidRPr="00C97A08" w:rsidRDefault="008222AE" w:rsidP="008222AE">
            <w:pPr>
              <w:pStyle w:val="Loendilik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  <w:lang w:val="et-EE"/>
              </w:rPr>
            </w:pPr>
            <w:proofErr w:type="spellStart"/>
            <w:r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>Turundamine</w:t>
            </w:r>
            <w:proofErr w:type="spellEnd"/>
            <w:r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>, tegevuste ja tulemuste kajastamine meedias, FB-s, NVK kodulehel</w:t>
            </w:r>
          </w:p>
          <w:p w14:paraId="313F3C5F" w14:textId="3B0C8650" w:rsidR="001122FF" w:rsidRPr="00C97A08" w:rsidRDefault="001122FF" w:rsidP="008222AE">
            <w:pPr>
              <w:pStyle w:val="Loendilik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  <w:lang w:val="et-EE"/>
              </w:rPr>
            </w:pPr>
            <w:r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>Eelarve kasutamise jälgimine</w:t>
            </w:r>
          </w:p>
          <w:p w14:paraId="6A8978E9" w14:textId="5C086BD2" w:rsidR="001122FF" w:rsidRPr="00C97A08" w:rsidRDefault="001122FF" w:rsidP="008222AE">
            <w:pPr>
              <w:pStyle w:val="Loendilik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  <w:lang w:val="et-EE"/>
              </w:rPr>
            </w:pPr>
            <w:r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>Ku</w:t>
            </w:r>
            <w:r w:rsidR="00F92D90"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>l</w:t>
            </w:r>
            <w:r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>uaru</w:t>
            </w:r>
            <w:r w:rsid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>a</w:t>
            </w:r>
            <w:r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>nde, tulemuste ja tagasiside aruande esitamine</w:t>
            </w:r>
            <w:r w:rsidR="0050711B"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 xml:space="preserve"> tegevusgrupile </w:t>
            </w:r>
            <w:r w:rsidR="00A53878"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>NVK vormil</w:t>
            </w:r>
          </w:p>
          <w:p w14:paraId="1293680C" w14:textId="3C0B40F1" w:rsidR="006834F5" w:rsidRPr="00C97A08" w:rsidRDefault="006834F5" w:rsidP="006834F5">
            <w:pPr>
              <w:pStyle w:val="Loendilik"/>
              <w:contextualSpacing w:val="0"/>
              <w:rPr>
                <w:rFonts w:asciiTheme="majorHAnsi" w:hAnsiTheme="majorHAnsi" w:cstheme="majorHAnsi"/>
                <w:color w:val="FF0000"/>
                <w:sz w:val="18"/>
                <w:szCs w:val="18"/>
                <w:lang w:val="et-EE"/>
              </w:rPr>
            </w:pPr>
          </w:p>
          <w:p w14:paraId="741A3FCC" w14:textId="7EC53985" w:rsidR="006834F5" w:rsidRPr="00C97A08" w:rsidRDefault="006834F5" w:rsidP="006834F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Abikõlbulikud kulud: </w:t>
            </w:r>
            <w:r w:rsidRPr="00C97A08">
              <w:rPr>
                <w:rFonts w:asciiTheme="majorHAnsi" w:hAnsiTheme="majorHAnsi" w:cstheme="majorHAnsi"/>
                <w:sz w:val="18"/>
                <w:szCs w:val="18"/>
              </w:rPr>
              <w:t xml:space="preserve">  Teavituskulud, ruumine rent, koolitaja tasu, päeva juhtimine, tegevuste läbiviimine, transport, toitlustus, majutus, muud </w:t>
            </w:r>
            <w:r w:rsidRPr="00C97A08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otseselt tegevuste läbiviimisega seotud kulud</w:t>
            </w:r>
          </w:p>
          <w:p w14:paraId="16C73A51" w14:textId="014EFA0A" w:rsidR="006834F5" w:rsidRPr="00C97A08" w:rsidRDefault="006834F5" w:rsidP="006834F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sz w:val="18"/>
                <w:szCs w:val="18"/>
              </w:rPr>
              <w:t>Kulu peab olema mõistlik, põhjendatud, selge, üksikasjalikult kirjeldatud, majanduslikult otstarbekas ja vajalik tegevuse eesmärgi saavutamiseks! Toetusraha kasutamisel tuleb olla otstarbekas ja säästlik!</w:t>
            </w:r>
          </w:p>
          <w:p w14:paraId="5AF866F6" w14:textId="77777777" w:rsidR="005D3061" w:rsidRPr="00C97A08" w:rsidRDefault="005D3061" w:rsidP="005D3061">
            <w:pPr>
              <w:pStyle w:val="Loendilik"/>
              <w:contextualSpacing w:val="0"/>
              <w:rPr>
                <w:rFonts w:asciiTheme="majorHAnsi" w:hAnsiTheme="majorHAnsi" w:cstheme="majorHAnsi"/>
                <w:sz w:val="18"/>
                <w:szCs w:val="18"/>
                <w:lang w:val="et-EE"/>
              </w:rPr>
            </w:pPr>
          </w:p>
          <w:p w14:paraId="36016490" w14:textId="75FE2F41" w:rsidR="0052345B" w:rsidRPr="00C97A08" w:rsidRDefault="0052345B" w:rsidP="00137D1B">
            <w:pPr>
              <w:pStyle w:val="Loendilik"/>
              <w:numPr>
                <w:ilvl w:val="0"/>
                <w:numId w:val="3"/>
              </w:numPr>
              <w:spacing w:after="120"/>
              <w:contextualSpacing w:val="0"/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t-EE"/>
              </w:rPr>
            </w:pPr>
            <w:r w:rsidRPr="00C97A08"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t-EE"/>
              </w:rPr>
              <w:t>Mitteabikõlbulikud tegevused</w:t>
            </w:r>
          </w:p>
          <w:p w14:paraId="6E7BACDF" w14:textId="77777777" w:rsidR="0052345B" w:rsidRPr="00C97A08" w:rsidRDefault="0052345B" w:rsidP="0052345B">
            <w:pPr>
              <w:pStyle w:val="Loendilik"/>
              <w:numPr>
                <w:ilvl w:val="0"/>
                <w:numId w:val="3"/>
              </w:numPr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>Investeeringud, sh remondi- ja ehitustööd</w:t>
            </w:r>
          </w:p>
          <w:p w14:paraId="4B256C57" w14:textId="182344D5" w:rsidR="009A6517" w:rsidRDefault="009A6517" w:rsidP="0052345B">
            <w:pPr>
              <w:pStyle w:val="Loendilik"/>
              <w:numPr>
                <w:ilvl w:val="0"/>
                <w:numId w:val="3"/>
              </w:numPr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>KOV tegevustoetuse vms toetus vihmavarjuprojekti toetusega samale tegevusele</w:t>
            </w:r>
          </w:p>
          <w:p w14:paraId="1C145029" w14:textId="73170F5B" w:rsidR="00873F35" w:rsidRPr="00C97A08" w:rsidRDefault="00AB7DF6" w:rsidP="0052345B">
            <w:pPr>
              <w:pStyle w:val="Loendilik"/>
              <w:numPr>
                <w:ilvl w:val="0"/>
                <w:numId w:val="3"/>
              </w:numPr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</w:pPr>
            <w:r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>Projektijuhtimine</w:t>
            </w:r>
          </w:p>
          <w:p w14:paraId="3B524FB2" w14:textId="226EB75D" w:rsidR="0052345B" w:rsidRDefault="007E3F45" w:rsidP="00137D1B">
            <w:pPr>
              <w:pStyle w:val="Loendilik"/>
              <w:numPr>
                <w:ilvl w:val="0"/>
                <w:numId w:val="3"/>
              </w:numPr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</w:pPr>
            <w:r w:rsidRPr="00C97A08">
              <w:rPr>
                <w:rFonts w:asciiTheme="majorHAnsi" w:hAnsiTheme="majorHAnsi" w:cstheme="majorHAnsi"/>
                <w:sz w:val="18"/>
                <w:szCs w:val="18"/>
                <w:lang w:val="et-EE"/>
              </w:rPr>
              <w:t>Vastavalt Leader määrusele ei saa toetust taotleda Saue linnas läbiviidavatele tegevustele ja endises Kernu ja Nissi vallas, mis kuuluvad Lääne-Harju Koostöökogu tegevusgrupi piirkonda</w:t>
            </w:r>
          </w:p>
          <w:p w14:paraId="0C7D260F" w14:textId="77777777" w:rsidR="00374B6F" w:rsidRPr="00374B6F" w:rsidRDefault="00374B6F" w:rsidP="00374B6F">
            <w:pPr>
              <w:pStyle w:val="Loendilik"/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</w:pPr>
          </w:p>
          <w:p w14:paraId="5FC84484" w14:textId="7746F4DA" w:rsidR="0052345B" w:rsidRPr="00C97A08" w:rsidRDefault="0052345B" w:rsidP="00137D1B">
            <w:pP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Projektitoetuse taotleja peab taotluse tegevusgrupile esitamise hetkel täitma kõiki maaeluministri määruses 23.10.2015 nr 11  „Kohaliku tegevusgrupi toetus ja LEADER-projektitoetus“ peatükis 4 PROJEKTITOETUS esitatud tingimusi.</w:t>
            </w:r>
            <w:r w:rsidR="00934825" w:rsidRPr="00C97A0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 xml:space="preserve"> </w:t>
            </w:r>
            <w:r w:rsidR="00934825" w:rsidRPr="00C97A0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34825" w:rsidRPr="00C97A0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RT I, 15.05.2020, 16</w:t>
            </w:r>
          </w:p>
          <w:p w14:paraId="20F96887" w14:textId="77777777" w:rsidR="0052345B" w:rsidRPr="00C97A08" w:rsidRDefault="0052345B" w:rsidP="00137D1B">
            <w:pP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Esitatavad dokumendid</w:t>
            </w:r>
          </w:p>
          <w:p w14:paraId="38E9D342" w14:textId="6FC31185" w:rsidR="0052345B" w:rsidRPr="00C97A08" w:rsidRDefault="009A6517" w:rsidP="0052345B">
            <w:pPr>
              <w:pStyle w:val="Loendilik"/>
              <w:numPr>
                <w:ilvl w:val="0"/>
                <w:numId w:val="9"/>
              </w:numPr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>H</w:t>
            </w:r>
            <w:r w:rsidR="0052345B"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 xml:space="preserve">innapakkumuste koopiad (vähemalt </w:t>
            </w:r>
            <w:r w:rsidR="001122FF"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>kaks</w:t>
            </w:r>
            <w:r w:rsidR="0052345B"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 xml:space="preserve"> võrreldavat pakkumust kui</w:t>
            </w:r>
            <w:r w:rsidR="00934825"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 xml:space="preserve"> kauba või teenuse</w:t>
            </w:r>
            <w:r w:rsidR="0052345B"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 xml:space="preserve"> käibemaksuta maksumus ületab 1000 €</w:t>
            </w:r>
            <w:r w:rsidR="001122FF"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 xml:space="preserve">,  vähemalt </w:t>
            </w:r>
            <w:r w:rsidR="00F92D90"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>kolm</w:t>
            </w:r>
            <w:r w:rsidR="001122FF"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 xml:space="preserve"> võrreldavat pakkumust kui kauba või teenuse käibemaksuta maksumus ületab 5000 €</w:t>
            </w:r>
          </w:p>
          <w:p w14:paraId="2856ED12" w14:textId="72EC17D9" w:rsidR="0052345B" w:rsidRPr="00C97A08" w:rsidRDefault="009A6517" w:rsidP="00934825">
            <w:pPr>
              <w:pStyle w:val="Loendilik"/>
              <w:numPr>
                <w:ilvl w:val="0"/>
                <w:numId w:val="8"/>
              </w:numPr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>T</w:t>
            </w:r>
            <w:r w:rsidR="00934825"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>oetuse taotluse avaldus</w:t>
            </w:r>
            <w:r w:rsidR="0052345B"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 xml:space="preserve"> </w:t>
            </w: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 xml:space="preserve">NVK </w:t>
            </w:r>
            <w:r w:rsidR="0052345B"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>vormi</w:t>
            </w:r>
            <w:r w:rsidR="002D29A9"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>l</w:t>
            </w:r>
          </w:p>
        </w:tc>
      </w:tr>
      <w:tr w:rsidR="0052345B" w:rsidRPr="00C97A08" w14:paraId="0FF763AC" w14:textId="77777777" w:rsidTr="00137D1B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hideMark/>
          </w:tcPr>
          <w:p w14:paraId="686F46AE" w14:textId="77777777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</w:pPr>
            <w:r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lastRenderedPageBreak/>
              <w:t xml:space="preserve">6. Toetuse maksimaalne suurus ja määr </w:t>
            </w:r>
          </w:p>
        </w:tc>
      </w:tr>
      <w:tr w:rsidR="0052345B" w:rsidRPr="00C97A08" w14:paraId="2A931486" w14:textId="77777777" w:rsidTr="00137D1B">
        <w:trPr>
          <w:trHeight w:val="55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23322D" w14:textId="51B9BA7B" w:rsidR="0052345B" w:rsidRPr="00C97A08" w:rsidRDefault="0052345B" w:rsidP="009A6517">
            <w:pPr>
              <w:pStyle w:val="Loendilik"/>
              <w:ind w:left="1080"/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  <w:lang w:val="et-EE"/>
              </w:rPr>
              <w:t xml:space="preserve"> </w:t>
            </w:r>
          </w:p>
          <w:p w14:paraId="59AE515A" w14:textId="1559BBAF" w:rsidR="0052345B" w:rsidRPr="00C97A08" w:rsidRDefault="00C3691C" w:rsidP="00C3691C">
            <w:pPr>
              <w:pStyle w:val="Loendilik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t-EE"/>
              </w:rPr>
            </w:pPr>
            <w:r w:rsidRPr="00C97A08"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t-EE"/>
              </w:rPr>
              <w:t xml:space="preserve">Maksimaalne toetussumma – </w:t>
            </w:r>
            <w:r w:rsidR="003338F0" w:rsidRPr="00C97A08"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t-EE"/>
              </w:rPr>
              <w:t>5</w:t>
            </w:r>
            <w:r w:rsidRPr="00C97A08"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t-EE"/>
              </w:rPr>
              <w:t xml:space="preserve"> 000 EUR.</w:t>
            </w:r>
          </w:p>
          <w:p w14:paraId="0F73D4FF" w14:textId="41BB9591" w:rsidR="0052345B" w:rsidRPr="00C97A08" w:rsidRDefault="0052345B" w:rsidP="00137D1B">
            <w:pP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Toetuse</w:t>
            </w:r>
            <w:r w:rsidR="00934825" w:rsidRPr="00C97A0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 xml:space="preserve"> määr</w:t>
            </w:r>
            <w:r w:rsidRPr="00C97A0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 xml:space="preserve">  </w:t>
            </w:r>
            <w:r w:rsidR="00F92D90" w:rsidRPr="00C97A0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90</w:t>
            </w:r>
            <w:r w:rsidR="00934825" w:rsidRPr="00C97A0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%</w:t>
            </w:r>
          </w:p>
          <w:p w14:paraId="7E86F33E" w14:textId="77777777" w:rsidR="006834F5" w:rsidRPr="00C97A08" w:rsidRDefault="006834F5" w:rsidP="00137D1B">
            <w:pP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</w:pPr>
          </w:p>
          <w:p w14:paraId="5D6298F7" w14:textId="60901F37" w:rsidR="0052345B" w:rsidRPr="00C97A08" w:rsidRDefault="0052345B" w:rsidP="009A6517">
            <w:pPr>
              <w:ind w:left="720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52345B" w:rsidRPr="00C97A08" w14:paraId="69D641DC" w14:textId="77777777" w:rsidTr="00137D1B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hideMark/>
          </w:tcPr>
          <w:p w14:paraId="0304CA6C" w14:textId="33B30B0F" w:rsidR="0052345B" w:rsidRPr="00C97A08" w:rsidRDefault="00934825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</w:pPr>
            <w:r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>7</w:t>
            </w:r>
            <w:r w:rsidR="0052345B"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>.</w:t>
            </w:r>
            <w:r w:rsidR="001A6098"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 xml:space="preserve"> Projekti tulemuste mõõtmine</w:t>
            </w:r>
          </w:p>
        </w:tc>
      </w:tr>
      <w:tr w:rsidR="0052345B" w:rsidRPr="00C97A08" w14:paraId="5706A289" w14:textId="77777777" w:rsidTr="001A6098">
        <w:trPr>
          <w:trHeight w:val="89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EF5E70" w14:textId="61F7DBE5" w:rsidR="0052345B" w:rsidRPr="00C97A08" w:rsidRDefault="0052345B" w:rsidP="0052345B">
            <w:pPr>
              <w:pStyle w:val="Loendilik"/>
              <w:numPr>
                <w:ilvl w:val="0"/>
                <w:numId w:val="3"/>
              </w:num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t-EE" w:eastAsia="et-EE"/>
              </w:rPr>
            </w:pPr>
            <w:r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t-EE" w:eastAsia="et-EE"/>
              </w:rPr>
              <w:t>osalejate rahulolu sündmustega on vähemalt 4 punkti 5-palli-süsteemis.</w:t>
            </w:r>
            <w:r w:rsidR="002D29A9"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t-EE" w:eastAsia="et-EE"/>
              </w:rPr>
              <w:t xml:space="preserve"> (Tegevustoetuse taotleja esitab kulude aruande koos </w:t>
            </w:r>
            <w:r w:rsidR="001A6098"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t-EE" w:eastAsia="et-EE"/>
              </w:rPr>
              <w:t xml:space="preserve">Leader tähistusega </w:t>
            </w:r>
            <w:r w:rsidR="002D29A9"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t-EE" w:eastAsia="et-EE"/>
              </w:rPr>
              <w:t>osalejate nimekirja ning</w:t>
            </w:r>
            <w:r w:rsidR="001A6098"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t-EE" w:eastAsia="et-EE"/>
              </w:rPr>
              <w:t xml:space="preserve"> tulemuste ja</w:t>
            </w:r>
            <w:r w:rsidR="002D29A9"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t-EE" w:eastAsia="et-EE"/>
              </w:rPr>
              <w:t xml:space="preserve"> tagasiside kokkuvõttega)</w:t>
            </w:r>
          </w:p>
        </w:tc>
      </w:tr>
      <w:tr w:rsidR="0052345B" w:rsidRPr="00C97A08" w14:paraId="06790A4F" w14:textId="77777777" w:rsidTr="00137D1B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hideMark/>
          </w:tcPr>
          <w:p w14:paraId="34965649" w14:textId="5DEFD3AC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</w:pPr>
            <w:r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 xml:space="preserve">11. </w:t>
            </w:r>
            <w:r w:rsidR="009416B3"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>T</w:t>
            </w:r>
            <w:r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 xml:space="preserve">aotluste hindamiskriteeriumid </w:t>
            </w:r>
          </w:p>
        </w:tc>
      </w:tr>
      <w:tr w:rsidR="0052345B" w:rsidRPr="00C97A08" w14:paraId="3A4FE47F" w14:textId="77777777" w:rsidTr="00137D1B">
        <w:trPr>
          <w:trHeight w:val="141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8D3FBB" w14:textId="6BE43849" w:rsidR="0052345B" w:rsidRPr="00C97A08" w:rsidRDefault="009416B3" w:rsidP="00137D1B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Otsused</w:t>
            </w:r>
            <w:r w:rsidR="00E42026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:</w:t>
            </w: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vihmavarjuprojekti tegevustoetusi </w:t>
            </w:r>
            <w:r w:rsidR="00E42026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taotlusi hindab ja </w:t>
            </w: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rahastusotsused </w:t>
            </w:r>
            <w:r w:rsidR="00E42026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kinnitab </w:t>
            </w: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NVK juhatus. </w:t>
            </w:r>
          </w:p>
          <w:p w14:paraId="5C2263EF" w14:textId="2E86F280" w:rsidR="00F92D90" w:rsidRPr="00C97A08" w:rsidRDefault="00F92D90" w:rsidP="00137D1B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Hindamiskriteeriumid</w:t>
            </w:r>
            <w:r w:rsidR="00E42026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</w:t>
            </w: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:</w:t>
            </w:r>
          </w:p>
          <w:p w14:paraId="4183613C" w14:textId="2898CD31" w:rsidR="009416B3" w:rsidRPr="00C97A08" w:rsidRDefault="009416B3" w:rsidP="009416B3">
            <w:pPr>
              <w:jc w:val="both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1. </w:t>
            </w:r>
            <w:r w:rsidR="0052345B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Projekti põhjendatus ja </w:t>
            </w: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seos Nelja Valla Kogu piirkonnaga </w:t>
            </w:r>
            <w:r w:rsidR="001122FF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(on põhjendatud/ei ole põhjendatud)</w:t>
            </w:r>
          </w:p>
          <w:p w14:paraId="636BD465" w14:textId="0C48B94A" w:rsidR="0052345B" w:rsidRPr="00C97A08" w:rsidRDefault="009416B3" w:rsidP="009416B3">
            <w:pPr>
              <w:jc w:val="both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2. </w:t>
            </w:r>
            <w:r w:rsidR="0052345B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Uuenduslikkus </w:t>
            </w:r>
            <w:r w:rsidR="001122FF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(jah/ei)</w:t>
            </w:r>
          </w:p>
          <w:p w14:paraId="37479AA6" w14:textId="369581EF" w:rsidR="0052345B" w:rsidRPr="00C97A08" w:rsidRDefault="009416B3" w:rsidP="00F92D90">
            <w:pPr>
              <w:jc w:val="both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3. </w:t>
            </w:r>
            <w:r w:rsidR="0052345B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Projekti </w:t>
            </w: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tegevuste ja </w:t>
            </w:r>
            <w:r w:rsidR="0052345B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kulude põhjendatus </w:t>
            </w:r>
            <w:r w:rsidR="001122FF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((on põhjendatud/ei ole põhjendatud</w:t>
            </w:r>
            <w:r w:rsidR="00E42026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>)</w:t>
            </w:r>
          </w:p>
          <w:p w14:paraId="5104A58D" w14:textId="23F3C89E" w:rsidR="0052345B" w:rsidRPr="00C97A08" w:rsidRDefault="00E42026" w:rsidP="00A55721">
            <w:pPr>
              <w:jc w:val="both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Iga hindaja “jah” </w:t>
            </w:r>
            <w:r w:rsidR="00A55721"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hinnang </w:t>
            </w:r>
            <w:r w:rsidRPr="00C97A0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annab 1 punkti. Summeeritud punktide alusel koostatakse pingerida toetuse määramiseks. </w:t>
            </w:r>
          </w:p>
        </w:tc>
      </w:tr>
      <w:tr w:rsidR="0052345B" w:rsidRPr="00C97A08" w14:paraId="5E215612" w14:textId="77777777" w:rsidTr="00934825">
        <w:trPr>
          <w:trHeight w:val="270"/>
        </w:trPr>
        <w:tc>
          <w:tcPr>
            <w:tcW w:w="203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DA08C" w14:textId="77777777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4EE7C" w14:textId="77777777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t-E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DB36E" w14:textId="77777777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t-E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97F7E" w14:textId="77777777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t-E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CDA6A" w14:textId="77777777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t-E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405F4" w14:textId="77777777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t-E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5156B" w14:textId="77777777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t-E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3710D" w14:textId="77777777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t-EE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4EEFE" w14:textId="77777777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t-EE"/>
              </w:rPr>
            </w:pPr>
          </w:p>
        </w:tc>
      </w:tr>
      <w:tr w:rsidR="009416B3" w:rsidRPr="00C97A08" w14:paraId="6D39F8F1" w14:textId="77777777" w:rsidTr="00934825">
        <w:trPr>
          <w:gridAfter w:val="9"/>
          <w:wAfter w:w="4356" w:type="pct"/>
          <w:trHeight w:val="28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DFC900" w14:textId="77777777" w:rsidR="009416B3" w:rsidRPr="00C97A08" w:rsidRDefault="009416B3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</w:pPr>
            <w:r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2EB614" w14:textId="77777777" w:rsidR="009416B3" w:rsidRPr="00C97A08" w:rsidRDefault="009416B3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</w:pPr>
            <w:r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0BF621" w14:textId="77777777" w:rsidR="009416B3" w:rsidRPr="00C97A08" w:rsidRDefault="009416B3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</w:pPr>
            <w:r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EE3A29" w14:textId="77777777" w:rsidR="009416B3" w:rsidRPr="00C97A08" w:rsidRDefault="009416B3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</w:pPr>
            <w:r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3A1F7E" w14:textId="77777777" w:rsidR="009416B3" w:rsidRPr="00C97A08" w:rsidRDefault="009416B3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</w:pPr>
            <w:r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D7147F" w14:textId="77777777" w:rsidR="009416B3" w:rsidRPr="00C97A08" w:rsidRDefault="009416B3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</w:pPr>
            <w:r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> </w:t>
            </w:r>
          </w:p>
        </w:tc>
      </w:tr>
      <w:tr w:rsidR="0052345B" w:rsidRPr="00C97A08" w14:paraId="2CE3DF7E" w14:textId="77777777" w:rsidTr="009416B3">
        <w:trPr>
          <w:trHeight w:val="780"/>
        </w:trPr>
        <w:tc>
          <w:tcPr>
            <w:tcW w:w="203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4102737" w14:textId="1ED634E8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29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BD57F3" w14:textId="2A912F74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</w:pPr>
          </w:p>
        </w:tc>
      </w:tr>
      <w:tr w:rsidR="0052345B" w:rsidRPr="00C97A08" w14:paraId="6D59F2F2" w14:textId="77777777" w:rsidTr="009416B3">
        <w:trPr>
          <w:trHeight w:val="330"/>
        </w:trPr>
        <w:tc>
          <w:tcPr>
            <w:tcW w:w="458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D01B2ED" w14:textId="694D0234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539F2E3" w14:textId="3F34D7F1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B279834" w14:textId="30F4ED00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906BD09" w14:textId="1AB871DD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EDA4F" w14:textId="77777777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</w:pPr>
            <w:r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> </w:t>
            </w:r>
          </w:p>
        </w:tc>
      </w:tr>
      <w:tr w:rsidR="0052345B" w:rsidRPr="00C97A08" w14:paraId="37930F78" w14:textId="77777777" w:rsidTr="009416B3">
        <w:trPr>
          <w:trHeight w:val="285"/>
        </w:trPr>
        <w:tc>
          <w:tcPr>
            <w:tcW w:w="203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ECA1DA2" w14:textId="0B1E7903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290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ADFA319" w14:textId="4A5A73EF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FF"/>
                <w:sz w:val="18"/>
                <w:szCs w:val="18"/>
                <w:u w:val="single"/>
                <w:lang w:eastAsia="et-EE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80C85B" w14:textId="77777777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</w:pPr>
            <w:r w:rsidRPr="00C97A0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  <w:t> </w:t>
            </w:r>
          </w:p>
        </w:tc>
      </w:tr>
      <w:tr w:rsidR="0052345B" w:rsidRPr="00C97A08" w14:paraId="5034388E" w14:textId="77777777" w:rsidTr="009416B3">
        <w:trPr>
          <w:trHeight w:val="285"/>
        </w:trPr>
        <w:tc>
          <w:tcPr>
            <w:tcW w:w="203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54237" w14:textId="77777777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A06BA" w14:textId="77777777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t-E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310A19" w14:textId="77777777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t-E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5D5D16" w14:textId="77777777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t-E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9066E" w14:textId="77777777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t-E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8AA76" w14:textId="77777777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t-E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805E7D" w14:textId="77777777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t-E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B5B15B" w14:textId="77777777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t-EE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1E8FF" w14:textId="77777777" w:rsidR="0052345B" w:rsidRPr="00C97A08" w:rsidRDefault="0052345B" w:rsidP="00137D1B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t-EE"/>
              </w:rPr>
            </w:pPr>
          </w:p>
        </w:tc>
      </w:tr>
    </w:tbl>
    <w:p w14:paraId="7E6A8915" w14:textId="77777777" w:rsidR="0052345B" w:rsidRPr="00C97A08" w:rsidRDefault="0052345B" w:rsidP="0052345B">
      <w:pPr>
        <w:rPr>
          <w:rFonts w:asciiTheme="majorHAnsi" w:hAnsiTheme="majorHAnsi" w:cstheme="majorHAnsi"/>
          <w:sz w:val="18"/>
          <w:szCs w:val="18"/>
        </w:rPr>
      </w:pPr>
    </w:p>
    <w:sectPr w:rsidR="0052345B" w:rsidRPr="00C97A08" w:rsidSect="007E3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EB3D9" w14:textId="77777777" w:rsidR="00E221C5" w:rsidRDefault="00E221C5" w:rsidP="00580F1B">
      <w:pPr>
        <w:spacing w:after="0" w:line="240" w:lineRule="auto"/>
      </w:pPr>
      <w:r>
        <w:separator/>
      </w:r>
    </w:p>
  </w:endnote>
  <w:endnote w:type="continuationSeparator" w:id="0">
    <w:p w14:paraId="72E18F90" w14:textId="77777777" w:rsidR="00E221C5" w:rsidRDefault="00E221C5" w:rsidP="0058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1CB4D" w14:textId="77777777" w:rsidR="00580F1B" w:rsidRDefault="00580F1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6331A" w14:textId="77777777" w:rsidR="00580F1B" w:rsidRDefault="00580F1B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3F4BD" w14:textId="77777777" w:rsidR="00580F1B" w:rsidRDefault="00580F1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7A883" w14:textId="77777777" w:rsidR="00E221C5" w:rsidRDefault="00E221C5" w:rsidP="00580F1B">
      <w:pPr>
        <w:spacing w:after="0" w:line="240" w:lineRule="auto"/>
      </w:pPr>
      <w:r>
        <w:separator/>
      </w:r>
    </w:p>
  </w:footnote>
  <w:footnote w:type="continuationSeparator" w:id="0">
    <w:p w14:paraId="386B801B" w14:textId="77777777" w:rsidR="00E221C5" w:rsidRDefault="00E221C5" w:rsidP="0058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F2820" w14:textId="77777777" w:rsidR="00580F1B" w:rsidRDefault="00580F1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A5D6D" w14:textId="18F100A6" w:rsidR="00580F1B" w:rsidRDefault="00580F1B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38C54" w14:textId="77777777" w:rsidR="00580F1B" w:rsidRDefault="00580F1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F1F43"/>
    <w:multiLevelType w:val="hybridMultilevel"/>
    <w:tmpl w:val="F238FD08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710F7"/>
    <w:multiLevelType w:val="hybridMultilevel"/>
    <w:tmpl w:val="0ACA32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B651E"/>
    <w:multiLevelType w:val="hybridMultilevel"/>
    <w:tmpl w:val="F81A7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D1C92"/>
    <w:multiLevelType w:val="hybridMultilevel"/>
    <w:tmpl w:val="7080522C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DFB"/>
    <w:multiLevelType w:val="hybridMultilevel"/>
    <w:tmpl w:val="780E14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F26B5"/>
    <w:multiLevelType w:val="hybridMultilevel"/>
    <w:tmpl w:val="BC081572"/>
    <w:lvl w:ilvl="0" w:tplc="B39291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F2D3F"/>
    <w:multiLevelType w:val="hybridMultilevel"/>
    <w:tmpl w:val="1F0C9462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3271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AC240D"/>
    <w:multiLevelType w:val="multilevel"/>
    <w:tmpl w:val="92FA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814145"/>
    <w:multiLevelType w:val="hybridMultilevel"/>
    <w:tmpl w:val="444ECB02"/>
    <w:lvl w:ilvl="0" w:tplc="B39291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B243F"/>
    <w:multiLevelType w:val="hybridMultilevel"/>
    <w:tmpl w:val="43A468B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476B4"/>
    <w:multiLevelType w:val="hybridMultilevel"/>
    <w:tmpl w:val="93304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A75"/>
    <w:rsid w:val="0006799B"/>
    <w:rsid w:val="00093164"/>
    <w:rsid w:val="000A086B"/>
    <w:rsid w:val="000F0A58"/>
    <w:rsid w:val="001122FF"/>
    <w:rsid w:val="00122591"/>
    <w:rsid w:val="00174D21"/>
    <w:rsid w:val="001A6098"/>
    <w:rsid w:val="002348B6"/>
    <w:rsid w:val="00237905"/>
    <w:rsid w:val="0024569E"/>
    <w:rsid w:val="002B5B6E"/>
    <w:rsid w:val="002D29A9"/>
    <w:rsid w:val="003038C2"/>
    <w:rsid w:val="003338F0"/>
    <w:rsid w:val="00374B6F"/>
    <w:rsid w:val="003E7C9C"/>
    <w:rsid w:val="004C03FA"/>
    <w:rsid w:val="0050711B"/>
    <w:rsid w:val="00510F2D"/>
    <w:rsid w:val="005141F3"/>
    <w:rsid w:val="0052345B"/>
    <w:rsid w:val="00580F1B"/>
    <w:rsid w:val="005B1CC1"/>
    <w:rsid w:val="005D3061"/>
    <w:rsid w:val="006834F5"/>
    <w:rsid w:val="006C1126"/>
    <w:rsid w:val="0072652B"/>
    <w:rsid w:val="007B235B"/>
    <w:rsid w:val="007D6D7A"/>
    <w:rsid w:val="007E3F45"/>
    <w:rsid w:val="008222AE"/>
    <w:rsid w:val="00866BFD"/>
    <w:rsid w:val="00873F35"/>
    <w:rsid w:val="008D7E64"/>
    <w:rsid w:val="00924940"/>
    <w:rsid w:val="00934825"/>
    <w:rsid w:val="009416B3"/>
    <w:rsid w:val="00963CC7"/>
    <w:rsid w:val="00966D6E"/>
    <w:rsid w:val="00970AF8"/>
    <w:rsid w:val="00972BF8"/>
    <w:rsid w:val="009A6517"/>
    <w:rsid w:val="00A2689C"/>
    <w:rsid w:val="00A53878"/>
    <w:rsid w:val="00A55721"/>
    <w:rsid w:val="00A878B2"/>
    <w:rsid w:val="00A95323"/>
    <w:rsid w:val="00AA2887"/>
    <w:rsid w:val="00AB7DF6"/>
    <w:rsid w:val="00AC427D"/>
    <w:rsid w:val="00B41E9E"/>
    <w:rsid w:val="00B45F50"/>
    <w:rsid w:val="00B956C2"/>
    <w:rsid w:val="00BA1063"/>
    <w:rsid w:val="00C15A75"/>
    <w:rsid w:val="00C31DDB"/>
    <w:rsid w:val="00C3691C"/>
    <w:rsid w:val="00C97A08"/>
    <w:rsid w:val="00DB3FE7"/>
    <w:rsid w:val="00DD79B7"/>
    <w:rsid w:val="00DF7DA3"/>
    <w:rsid w:val="00E02E1C"/>
    <w:rsid w:val="00E221C5"/>
    <w:rsid w:val="00E42026"/>
    <w:rsid w:val="00E76A44"/>
    <w:rsid w:val="00E9457B"/>
    <w:rsid w:val="00EB7ADA"/>
    <w:rsid w:val="00EF42D5"/>
    <w:rsid w:val="00F438EE"/>
    <w:rsid w:val="00F92D90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01B528"/>
  <w15:docId w15:val="{11292F49-C7D5-466D-B780-E052AF86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345B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52345B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LoendilikMrk">
    <w:name w:val="Loendi lõik Märk"/>
    <w:aliases w:val="Mummuga loetelu Märk"/>
    <w:basedOn w:val="Liguvaikefont"/>
    <w:link w:val="Loendilik"/>
    <w:uiPriority w:val="34"/>
    <w:locked/>
    <w:rsid w:val="0052345B"/>
    <w:rPr>
      <w:rFonts w:eastAsiaTheme="minorEastAsia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24569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4569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4569E"/>
    <w:rPr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4569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4569E"/>
    <w:rPr>
      <w:b/>
      <w:bCs/>
      <w:sz w:val="20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45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4569E"/>
    <w:rPr>
      <w:rFonts w:ascii="Segoe UI" w:hAnsi="Segoe UI" w:cs="Segoe UI"/>
      <w:sz w:val="18"/>
      <w:szCs w:val="18"/>
      <w:lang w:val="et-EE"/>
    </w:rPr>
  </w:style>
  <w:style w:type="paragraph" w:styleId="Vahedeta">
    <w:name w:val="No Spacing"/>
    <w:basedOn w:val="Normaallaad"/>
    <w:uiPriority w:val="1"/>
    <w:qFormat/>
    <w:rsid w:val="007E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58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80F1B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8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80F1B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743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Annika Jõks</cp:lastModifiedBy>
  <cp:revision>34</cp:revision>
  <cp:lastPrinted>2020-12-01T13:05:00Z</cp:lastPrinted>
  <dcterms:created xsi:type="dcterms:W3CDTF">2021-01-15T12:52:00Z</dcterms:created>
  <dcterms:modified xsi:type="dcterms:W3CDTF">2021-03-30T07:24:00Z</dcterms:modified>
</cp:coreProperties>
</file>